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523" w:rsidP="00E67523">
      <w:pPr>
        <w:pStyle w:val="Title"/>
      </w:pPr>
      <w:r>
        <w:fldChar w:fldCharType="begin"/>
      </w:r>
      <w:r>
        <w:instrText xml:space="preserve"> TITLE   \* MERGEFORMAT </w:instrText>
      </w:r>
      <w:r>
        <w:fldChar w:fldCharType="separate"/>
      </w:r>
      <w:r>
        <w:t>MSFPT3016 Provide advice to customers on piano tuning and repair</w:t>
      </w:r>
      <w:r>
        <w:fldChar w:fldCharType="end"/>
      </w:r>
    </w:p>
    <w:p w:rsidR="00E67523" w:rsidP="00E67523">
      <w:pPr>
        <w:pStyle w:val="Version"/>
        <w:sectPr w:rsidSect="00116C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CA1" w:rsidP="00116CA1">
      <w:pPr>
        <w:pStyle w:val="SuperHeading"/>
      </w:pPr>
      <w:r w:rsidRPr="00116CA1">
        <w:t>MSFPT3016 Pro</w:t>
      </w:r>
      <w:r w:rsidRPr="00116CA1">
        <w:t>vide advice to customers on piano tuning and repair</w:t>
      </w:r>
    </w:p>
    <w:p w:rsidR="00000000" w:rsidRPr="00116CA1" w:rsidP="00116CA1">
      <w:pPr>
        <w:pStyle w:val="Heading1"/>
      </w:pPr>
      <w:bookmarkStart w:id="1" w:name="O_623172"/>
      <w:bookmarkEnd w:id="1"/>
      <w:r w:rsidRPr="00116CA1">
        <w:t>Modification History</w:t>
      </w:r>
    </w:p>
    <w:p w:rsidR="00000000" w:rsidRPr="00116CA1" w:rsidP="00E67523">
      <w:pPr>
        <w:pStyle w:val="BodyText"/>
      </w:pPr>
      <w:r w:rsidRPr="00116CA1">
        <w:t>Release 1 - New unit of competency</w:t>
      </w:r>
    </w:p>
    <w:p w:rsidR="00000000" w:rsidRPr="00116CA1" w:rsidP="00116CA1">
      <w:pPr>
        <w:pStyle w:val="Heading1"/>
      </w:pPr>
      <w:bookmarkStart w:id="2" w:name="O_623180"/>
      <w:bookmarkEnd w:id="2"/>
      <w:r w:rsidRPr="00116CA1">
        <w:t>Application</w:t>
      </w:r>
    </w:p>
    <w:p w:rsidR="00000000" w:rsidRPr="00116CA1" w:rsidP="00E67523">
      <w:pPr>
        <w:pStyle w:val="BodyText"/>
      </w:pPr>
      <w:r w:rsidRPr="00116CA1">
        <w:t>This unit of competency covers providing advice to customers regarding the repair and tuning of pianos, including identifying any faults and repairs required, and calculating all costs.</w:t>
      </w:r>
    </w:p>
    <w:p w:rsidR="00000000" w:rsidRPr="00116CA1" w:rsidP="00E67523">
      <w:pPr>
        <w:pStyle w:val="BodyText"/>
      </w:pPr>
      <w:r w:rsidRPr="00116CA1">
        <w:t>No licensing, legislative or certification requirements apply to this</w:t>
      </w:r>
      <w:r w:rsidRPr="00116CA1">
        <w:t xml:space="preserve"> unit at the time of publication.</w:t>
      </w:r>
    </w:p>
    <w:p w:rsidR="00000000" w:rsidRPr="00116CA1" w:rsidP="00116CA1">
      <w:pPr>
        <w:pStyle w:val="Heading1"/>
      </w:pPr>
      <w:bookmarkStart w:id="3" w:name="O_623179"/>
      <w:bookmarkEnd w:id="3"/>
      <w:r w:rsidRPr="00116CA1">
        <w:t>Pre-requisite Unit</w:t>
      </w:r>
    </w:p>
    <w:p w:rsidR="00000000" w:rsidRPr="00116CA1" w:rsidP="00116CA1">
      <w:pPr>
        <w:pStyle w:val="Heading1"/>
      </w:pPr>
      <w:bookmarkStart w:id="4" w:name="O_623178"/>
      <w:bookmarkEnd w:id="4"/>
      <w:r w:rsidRPr="00116CA1">
        <w:t>Competency Field</w:t>
      </w:r>
    </w:p>
    <w:p w:rsidR="00000000" w:rsidRPr="00116CA1" w:rsidP="00116CA1">
      <w:pPr>
        <w:pStyle w:val="Heading1"/>
      </w:pPr>
      <w:bookmarkStart w:id="5" w:name="O_623177"/>
      <w:bookmarkEnd w:id="5"/>
      <w:r w:rsidRPr="00116CA1">
        <w:t>Unit Sector</w:t>
      </w:r>
    </w:p>
    <w:p w:rsidR="00000000" w:rsidRPr="00116CA1" w:rsidP="00E67523">
      <w:pPr>
        <w:pStyle w:val="BodyText"/>
      </w:pPr>
      <w:r w:rsidRPr="00116CA1">
        <w:t>Piano Technology</w:t>
      </w:r>
    </w:p>
    <w:p w:rsidR="00000000" w:rsidRPr="00116CA1" w:rsidP="00116CA1">
      <w:pPr>
        <w:pStyle w:val="Heading1"/>
      </w:pPr>
      <w:bookmarkStart w:id="6" w:name="O_623176"/>
      <w:bookmarkEnd w:id="6"/>
      <w:r w:rsidRPr="00116CA1">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116CA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Performance cr</w:t>
            </w:r>
            <w:r w:rsidRPr="00116CA1">
              <w:t>iteria describe the performance needed to demonstrate achievement of the element.</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1</w:t>
            </w:r>
          </w:p>
        </w:tc>
        <w:tc>
          <w:tcPr>
            <w:tcW w:w="2219"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Plan for work</w:t>
            </w: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1.1</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 xml:space="preserve">Work health and safety (WHS) requirements, legislative requirements and workplace practices relevant to tuning and repairing pianos are verified </w:t>
            </w:r>
            <w:r w:rsidRPr="00116CA1">
              <w:t>and complied with</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1.2</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Customer requirements regarding suitable time and date for appointment are received and confirmed with appropriate personnel</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1.3</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 xml:space="preserve">Communication with others involved with the work is established and maintained to ensure efficient </w:t>
            </w:r>
            <w:r w:rsidRPr="00116CA1">
              <w:t xml:space="preserve">work flow, coordination, personnel cooperation and safety </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1.4</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Written instructions are followed</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2</w:t>
            </w:r>
          </w:p>
        </w:tc>
        <w:tc>
          <w:tcPr>
            <w:tcW w:w="2219"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 xml:space="preserve">Identify customer </w:t>
            </w:r>
            <w:r w:rsidRPr="00116CA1">
              <w:t>requirements</w:t>
            </w: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2.1</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 xml:space="preserve">Questioning and active listening techniques are used to </w:t>
            </w:r>
            <w:r w:rsidRPr="00116CA1">
              <w:t>clarify customer requirements</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2.2</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Feedback is provided to customer to ensure correct interpretation of requirements</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3</w:t>
            </w:r>
          </w:p>
        </w:tc>
        <w:tc>
          <w:tcPr>
            <w:tcW w:w="2219"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Assess piano for faults and relevant repairs</w:t>
            </w: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3.1</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Piano case parts are removed and stored safely away from the instrument</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3.2</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Faults are identified and recorded according to workplace practices</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3.3</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Appropriate repairs required to rectify faults are determined</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3.4</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Piano case parts are re-assembled according to workplace practices</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3.5</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Work area is cleared and waste removed</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3.6</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Workplace documentation is completed</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4</w:t>
            </w:r>
          </w:p>
        </w:tc>
        <w:tc>
          <w:tcPr>
            <w:tcW w:w="2219"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Assess piano tuning requirements</w:t>
            </w: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4.1</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Frequency of tuning is determined, based on industry recommendations</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4.2</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Customer is advised on environmental conditions which may affect tuning stability</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5</w:t>
            </w:r>
          </w:p>
        </w:tc>
        <w:tc>
          <w:tcPr>
            <w:tcW w:w="2219"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Provide customer with recommendations</w:t>
            </w: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5.1</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Customer is advised both verbally and in writing of recommendations regarding tuning and repair of piano</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5.2</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Customer is given options regarding priority of repairs so they can give an informed decision</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5.3</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Options regarding materials used in repairs are explained to and discussed with the customer to facilitate customer understanding of available products and services</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6</w:t>
            </w:r>
          </w:p>
        </w:tc>
        <w:tc>
          <w:tcPr>
            <w:tcW w:w="2219"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Present quotation to customer</w:t>
            </w: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6.1</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Quotation is prepared for the tuning and repair of pia</w:t>
            </w:r>
            <w:r w:rsidRPr="00116CA1">
              <w:t>no, including all costs</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6.2</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Customer is presented with quotation, which includes a breakdown of costs for all options for tuning and repair</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6.3</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Benefits of each option are explained to the customer to facilitate informed decision making</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6.4</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Customer commitment to agreed repairs and tuning is gained in accordance with workplace practices</w:t>
            </w:r>
          </w:p>
        </w:tc>
      </w:tr>
      <w:tr w:rsidTr="00116CA1">
        <w:tblPrEx>
          <w:tblW w:w="9286" w:type="dxa"/>
          <w:tblLayout w:type="fixed"/>
          <w:tblCellMar>
            <w:left w:w="62" w:type="dxa"/>
            <w:right w:w="62" w:type="dxa"/>
          </w:tblCellMar>
          <w:tblLook w:val="0000"/>
        </w:tblPrEx>
        <w:trPr>
          <w:trHeight w:val="570"/>
        </w:trPr>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6.5</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Customer is informed of rights and obligations regarding product or service</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7</w:t>
            </w:r>
          </w:p>
        </w:tc>
        <w:tc>
          <w:tcPr>
            <w:tcW w:w="2219"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Finalise process</w:t>
            </w: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7.1</w:t>
            </w:r>
          </w:p>
        </w:tc>
        <w:tc>
          <w:tcPr>
            <w:tcW w:w="5866"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Documentation is completed and submitted to appropr</w:t>
            </w:r>
            <w:r w:rsidRPr="00116CA1">
              <w:t>iate personnel following workplace practices</w:t>
            </w:r>
          </w:p>
        </w:tc>
      </w:tr>
      <w:tr w:rsidTr="00116CA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7.2</w:t>
            </w:r>
          </w:p>
        </w:tc>
        <w:tc>
          <w:tcPr>
            <w:tcW w:w="5866" w:type="dxa"/>
            <w:tcBorders>
              <w:top w:val="nil"/>
              <w:left w:val="nil"/>
              <w:bottom w:val="nil"/>
              <w:right w:val="nil"/>
            </w:tcBorders>
            <w:tcMar>
              <w:top w:w="0" w:type="dxa"/>
              <w:left w:w="62" w:type="dxa"/>
              <w:bottom w:w="0" w:type="dxa"/>
              <w:right w:w="62" w:type="dxa"/>
            </w:tcMar>
          </w:tcPr>
          <w:p w:rsidR="00000000" w:rsidRPr="00116CA1" w:rsidP="00116CA1">
            <w:pPr>
              <w:pStyle w:val="BodyText"/>
            </w:pPr>
            <w:r w:rsidRPr="00116CA1">
              <w:t>Contact is maintained with customer throughout the tuning and repair process</w:t>
            </w:r>
          </w:p>
        </w:tc>
      </w:tr>
    </w:tbl>
    <w:p w:rsidR="00000000" w:rsidRPr="00116CA1" w:rsidP="00116CA1">
      <w:pPr>
        <w:pStyle w:val="BodyText"/>
      </w:pPr>
    </w:p>
    <w:p w:rsidR="00000000" w:rsidRPr="00116CA1" w:rsidP="00116CA1">
      <w:pPr>
        <w:pStyle w:val="AllowPageBreak"/>
      </w:pPr>
    </w:p>
    <w:p w:rsidR="00000000" w:rsidRPr="00116CA1" w:rsidP="00116CA1">
      <w:pPr>
        <w:pStyle w:val="Heading1"/>
      </w:pPr>
      <w:bookmarkStart w:id="7" w:name="O_623175"/>
      <w:bookmarkEnd w:id="7"/>
      <w:r w:rsidRPr="00116CA1">
        <w:t>Foundation Skills</w:t>
      </w:r>
    </w:p>
    <w:p w:rsidR="00000000" w:rsidRPr="00116CA1" w:rsidP="00E67523">
      <w:pPr>
        <w:pStyle w:val="BodyText"/>
      </w:pPr>
      <w:r w:rsidRPr="00116CA1">
        <w:t>Foundation skills essential to performance are explicit in the performance criteria of this unit of competency. Detail on appropriate performance levels for each furnishing unit of competency in reading, writing, oral communication and numeracy utilising t</w:t>
      </w:r>
      <w:r w:rsidRPr="00116CA1">
        <w:t>he Australian Core Skills Framework (ACSF) are provided in the Furnishing Training Package Implementation Guide.</w:t>
      </w:r>
    </w:p>
    <w:p w:rsidR="00000000" w:rsidRPr="00116CA1" w:rsidP="00116CA1">
      <w:pPr>
        <w:pStyle w:val="Heading1"/>
      </w:pPr>
      <w:bookmarkStart w:id="8" w:name="O_623174"/>
      <w:bookmarkEnd w:id="8"/>
      <w:r w:rsidRPr="00116CA1">
        <w:t>Range of Conditions</w:t>
      </w:r>
    </w:p>
    <w:tbl>
      <w:tblPr>
        <w:tblW w:w="0" w:type="auto"/>
        <w:tblLayout w:type="fixed"/>
        <w:tblCellMar>
          <w:left w:w="62" w:type="dxa"/>
          <w:right w:w="62" w:type="dxa"/>
        </w:tblCellMar>
        <w:tblLook w:val="0000"/>
      </w:tblPr>
      <w:tblGrid>
        <w:gridCol w:w="2760"/>
        <w:gridCol w:w="6312"/>
      </w:tblGrid>
      <w:tr w:rsidTr="00116C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t>Specifies different work environments and conditions that may affect performance. Essential operating cond</w:t>
            </w:r>
            <w:r w:rsidRPr="00116CA1">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16CA1">
              <w:t>to the work environment.</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16CA1" w:rsidP="00116CA1">
            <w:pPr>
              <w:pStyle w:val="ListBullet"/>
            </w:pPr>
            <w:r w:rsidRPr="00116CA1">
              <w:t xml:space="preserve">WHS requirements, including legislation, building codes, material safety management systems, hazardous and dangerous goods codes, and local safe operating procedures or equivalent </w:t>
            </w:r>
          </w:p>
          <w:p w:rsidR="00000000" w:rsidRPr="00116CA1" w:rsidP="00116CA1">
            <w:pPr>
              <w:pStyle w:val="ListBullet"/>
            </w:pPr>
            <w:r w:rsidRPr="00116CA1">
              <w:t>work is carried out in accordance with legislative obligations, environmental legislation, relevant health regulations, manual handling procedures and organisation insurance requirements</w:t>
            </w:r>
          </w:p>
          <w:p w:rsidR="00000000" w:rsidP="00116CA1">
            <w:pPr>
              <w:pStyle w:val="ListBullet"/>
              <w:rPr>
                <w:lang w:val="en-NZ"/>
              </w:rPr>
            </w:pPr>
            <w:r w:rsidRPr="00116CA1">
              <w:t>work requires individuals to demonstrate some discretion, judgement a</w:t>
            </w:r>
            <w:r w:rsidRPr="00116CA1">
              <w:t xml:space="preserve">nd problem solving </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rPr>
                <w:rStyle w:val="SpecialBold"/>
              </w:rPr>
              <w:t>Active listening includes:</w:t>
            </w:r>
          </w:p>
        </w:tc>
        <w:tc>
          <w:tcPr>
            <w:tcW w:w="6312" w:type="dxa"/>
            <w:tcBorders>
              <w:top w:val="nil"/>
              <w:left w:val="nil"/>
              <w:bottom w:val="nil"/>
              <w:right w:val="nil"/>
            </w:tcBorders>
            <w:tcMar>
              <w:top w:w="0" w:type="dxa"/>
              <w:left w:w="62" w:type="dxa"/>
              <w:bottom w:w="0" w:type="dxa"/>
              <w:right w:w="62" w:type="dxa"/>
            </w:tcMar>
          </w:tcPr>
          <w:p w:rsidR="00000000" w:rsidRPr="00116CA1" w:rsidP="00116CA1">
            <w:pPr>
              <w:pStyle w:val="ListBullet"/>
            </w:pPr>
            <w:r w:rsidRPr="00116CA1">
              <w:t xml:space="preserve">maintaining eye contact </w:t>
            </w:r>
          </w:p>
          <w:p w:rsidR="00000000" w:rsidP="00116CA1">
            <w:pPr>
              <w:pStyle w:val="ListBullet"/>
              <w:rPr>
                <w:lang w:val="en-NZ"/>
              </w:rPr>
            </w:pPr>
            <w:r w:rsidRPr="00116CA1">
              <w:t>asking questions to clarify meaning</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rPr>
                <w:rStyle w:val="SpecialBold"/>
              </w:rPr>
              <w:t>Feedback includes:</w:t>
            </w:r>
          </w:p>
        </w:tc>
        <w:tc>
          <w:tcPr>
            <w:tcW w:w="6312" w:type="dxa"/>
            <w:tcBorders>
              <w:top w:val="nil"/>
              <w:left w:val="nil"/>
              <w:bottom w:val="nil"/>
              <w:right w:val="nil"/>
            </w:tcBorders>
            <w:tcMar>
              <w:top w:w="0" w:type="dxa"/>
              <w:left w:w="62" w:type="dxa"/>
              <w:bottom w:w="0" w:type="dxa"/>
              <w:right w:w="62" w:type="dxa"/>
            </w:tcMar>
          </w:tcPr>
          <w:p w:rsidR="00000000" w:rsidP="00116CA1">
            <w:pPr>
              <w:pStyle w:val="ListBullet"/>
              <w:rPr>
                <w:lang w:val="en-NZ"/>
              </w:rPr>
            </w:pPr>
            <w:r w:rsidRPr="00116CA1">
              <w:t>verbal or written response</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rPr>
                <w:rStyle w:val="SpecialBold"/>
              </w:rPr>
              <w:t>Faults include:</w:t>
            </w:r>
          </w:p>
        </w:tc>
        <w:tc>
          <w:tcPr>
            <w:tcW w:w="6312" w:type="dxa"/>
            <w:tcBorders>
              <w:top w:val="nil"/>
              <w:left w:val="nil"/>
              <w:bottom w:val="nil"/>
              <w:right w:val="nil"/>
            </w:tcBorders>
            <w:tcMar>
              <w:top w:w="0" w:type="dxa"/>
              <w:left w:w="62" w:type="dxa"/>
              <w:bottom w:w="0" w:type="dxa"/>
              <w:right w:w="62" w:type="dxa"/>
            </w:tcMar>
          </w:tcPr>
          <w:p w:rsidR="00000000" w:rsidRPr="00116CA1" w:rsidP="00116CA1">
            <w:pPr>
              <w:pStyle w:val="ListBullet"/>
            </w:pPr>
            <w:r w:rsidRPr="00116CA1">
              <w:t>worn, loose or broken action parts or keyboards</w:t>
            </w:r>
          </w:p>
          <w:p w:rsidR="00000000" w:rsidRPr="00116CA1" w:rsidP="00116CA1">
            <w:pPr>
              <w:pStyle w:val="ListBullet"/>
            </w:pPr>
            <w:r w:rsidRPr="00116CA1">
              <w:t>worn or broken pedal systems</w:t>
            </w:r>
          </w:p>
          <w:p w:rsidR="00000000" w:rsidRPr="00116CA1" w:rsidP="00116CA1">
            <w:pPr>
              <w:pStyle w:val="ListBullet"/>
            </w:pPr>
            <w:r w:rsidRPr="00116CA1">
              <w:t>tun</w:t>
            </w:r>
            <w:r w:rsidRPr="00116CA1">
              <w:t>ing instability</w:t>
            </w:r>
          </w:p>
          <w:p w:rsidR="00000000" w:rsidRPr="00116CA1" w:rsidP="00116CA1">
            <w:pPr>
              <w:pStyle w:val="ListBullet"/>
            </w:pPr>
            <w:r w:rsidRPr="00116CA1">
              <w:t>cracks or delamination of bridges, ribs and soundboards</w:t>
            </w:r>
          </w:p>
          <w:p w:rsidR="00000000" w:rsidP="00116CA1">
            <w:pPr>
              <w:pStyle w:val="ListBullet"/>
              <w:rPr>
                <w:lang w:val="en-NZ"/>
              </w:rPr>
            </w:pPr>
            <w:r w:rsidRPr="00116CA1">
              <w:t>case faults</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rPr>
                <w:rStyle w:val="SpecialBold"/>
              </w:rPr>
              <w:t>Frequency of piano tuning varies according to:</w:t>
            </w:r>
          </w:p>
        </w:tc>
        <w:tc>
          <w:tcPr>
            <w:tcW w:w="6312" w:type="dxa"/>
            <w:tcBorders>
              <w:top w:val="nil"/>
              <w:left w:val="nil"/>
              <w:bottom w:val="nil"/>
              <w:right w:val="nil"/>
            </w:tcBorders>
            <w:tcMar>
              <w:top w:w="0" w:type="dxa"/>
              <w:left w:w="62" w:type="dxa"/>
              <w:bottom w:w="0" w:type="dxa"/>
              <w:right w:w="62" w:type="dxa"/>
            </w:tcMar>
          </w:tcPr>
          <w:p w:rsidR="00000000" w:rsidRPr="00116CA1" w:rsidP="00116CA1">
            <w:pPr>
              <w:pStyle w:val="ListBullet"/>
            </w:pPr>
            <w:r w:rsidRPr="00116CA1">
              <w:t>condition and age of piano</w:t>
            </w:r>
          </w:p>
          <w:p w:rsidR="00000000" w:rsidRPr="00116CA1" w:rsidP="00116CA1">
            <w:pPr>
              <w:pStyle w:val="ListBullet"/>
            </w:pPr>
            <w:r w:rsidRPr="00116CA1">
              <w:t>amount of use of the piano</w:t>
            </w:r>
          </w:p>
          <w:p w:rsidR="00000000" w:rsidRPr="00116CA1" w:rsidP="00116CA1">
            <w:pPr>
              <w:pStyle w:val="ListBullet"/>
            </w:pPr>
            <w:r w:rsidRPr="00116CA1">
              <w:t>quality of the piano</w:t>
            </w:r>
          </w:p>
          <w:p w:rsidR="00000000" w:rsidP="00116CA1">
            <w:pPr>
              <w:pStyle w:val="ListBullet"/>
              <w:rPr>
                <w:lang w:val="en-NZ"/>
              </w:rPr>
            </w:pPr>
            <w:r w:rsidRPr="00116CA1">
              <w:t>internal and external humidity changes</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rPr>
                <w:rStyle w:val="SpecialBold"/>
              </w:rPr>
              <w:t>Environmental conditions include:</w:t>
            </w:r>
          </w:p>
        </w:tc>
        <w:tc>
          <w:tcPr>
            <w:tcW w:w="6312" w:type="dxa"/>
            <w:tcBorders>
              <w:top w:val="nil"/>
              <w:left w:val="nil"/>
              <w:bottom w:val="nil"/>
              <w:right w:val="nil"/>
            </w:tcBorders>
            <w:tcMar>
              <w:top w:w="0" w:type="dxa"/>
              <w:left w:w="62" w:type="dxa"/>
              <w:bottom w:w="0" w:type="dxa"/>
              <w:right w:w="62" w:type="dxa"/>
            </w:tcMar>
          </w:tcPr>
          <w:p w:rsidR="00000000" w:rsidRPr="00116CA1" w:rsidP="00116CA1">
            <w:pPr>
              <w:pStyle w:val="ListBullet"/>
            </w:pPr>
            <w:r w:rsidRPr="00116CA1">
              <w:t>piano position in home or other location</w:t>
            </w:r>
          </w:p>
          <w:p w:rsidR="00000000" w:rsidRPr="00116CA1" w:rsidP="00116CA1">
            <w:pPr>
              <w:pStyle w:val="ListBullet"/>
            </w:pPr>
            <w:r w:rsidRPr="00116CA1">
              <w:t>air conditioning and heating</w:t>
            </w:r>
          </w:p>
          <w:p w:rsidR="00000000" w:rsidP="00116CA1">
            <w:pPr>
              <w:pStyle w:val="ListBullet"/>
              <w:rPr>
                <w:lang w:val="en-NZ"/>
              </w:rPr>
            </w:pPr>
            <w:r w:rsidRPr="00116CA1">
              <w:t>seasonal temperature and humidity changes</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6CA1" w:rsidP="00116CA1">
            <w:pPr>
              <w:pStyle w:val="BodyText"/>
            </w:pPr>
            <w:r w:rsidRPr="00116CA1">
              <w:rPr>
                <w:rStyle w:val="SpecialBold"/>
              </w:rPr>
              <w:t>Quotations include:</w:t>
            </w:r>
          </w:p>
          <w:p w:rsidR="00000000" w:rsidP="00116CA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6CA1" w:rsidP="00116CA1">
            <w:pPr>
              <w:pStyle w:val="ListBullet"/>
            </w:pPr>
            <w:r w:rsidRPr="00116CA1">
              <w:t>progressive listing of repair points in an orderly format</w:t>
            </w:r>
          </w:p>
          <w:p w:rsidR="00000000" w:rsidRPr="00116CA1" w:rsidP="00116CA1">
            <w:pPr>
              <w:pStyle w:val="ListBullet"/>
            </w:pPr>
            <w:r w:rsidRPr="00116CA1">
              <w:t>all costs</w:t>
            </w:r>
          </w:p>
          <w:p w:rsidR="00000000" w:rsidRPr="00116CA1" w:rsidP="00116CA1">
            <w:pPr>
              <w:pStyle w:val="ListBullet"/>
            </w:pPr>
            <w:r w:rsidRPr="00116CA1">
              <w:t>statement of warranty terms</w:t>
            </w:r>
          </w:p>
          <w:p w:rsidR="00000000" w:rsidRPr="00116CA1" w:rsidP="00116CA1">
            <w:pPr>
              <w:pStyle w:val="ListBullet"/>
            </w:pPr>
            <w:r w:rsidRPr="00116CA1">
              <w:t>statement of payment terms, including deposit</w:t>
            </w:r>
          </w:p>
          <w:p w:rsidR="00000000" w:rsidP="00116CA1">
            <w:pPr>
              <w:pStyle w:val="ListBullet"/>
              <w:rPr>
                <w:lang w:val="en-NZ"/>
              </w:rPr>
            </w:pPr>
            <w:r w:rsidRPr="00116CA1">
              <w:t>estimation of the time the instrument will be out of service</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RPr="00116CA1" w:rsidP="00116CA1">
            <w:pPr>
              <w:pStyle w:val="ListBullet"/>
            </w:pPr>
            <w:r w:rsidRPr="00116CA1">
              <w:t>material used in repair</w:t>
            </w:r>
          </w:p>
          <w:p w:rsidR="00000000" w:rsidRPr="00116CA1" w:rsidP="00116CA1">
            <w:pPr>
              <w:pStyle w:val="ListBullet"/>
            </w:pPr>
            <w:r w:rsidRPr="00116CA1">
              <w:t>labour</w:t>
            </w:r>
          </w:p>
          <w:p w:rsidR="00000000" w:rsidRPr="00116CA1" w:rsidP="00116CA1">
            <w:pPr>
              <w:pStyle w:val="ListBullet"/>
            </w:pPr>
            <w:r w:rsidRPr="00116CA1">
              <w:t>travel expenses (if applicable)</w:t>
            </w:r>
          </w:p>
          <w:p w:rsidR="00000000" w:rsidP="00116CA1">
            <w:pPr>
              <w:pStyle w:val="ListBullet"/>
              <w:rPr>
                <w:lang w:val="en-NZ"/>
              </w:rPr>
            </w:pPr>
            <w:r w:rsidRPr="00116CA1">
              <w:t>shipping of parts or piano</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rPr>
                <w:rStyle w:val="SpecialBold"/>
              </w:rPr>
              <w:t>Personal prot</w:t>
            </w:r>
            <w:r w:rsidRPr="00116CA1">
              <w:rPr>
                <w:rStyle w:val="SpecialBold"/>
              </w:rPr>
              <w:t>ective equipment includes:</w:t>
            </w:r>
          </w:p>
        </w:tc>
        <w:tc>
          <w:tcPr>
            <w:tcW w:w="6312" w:type="dxa"/>
            <w:tcBorders>
              <w:top w:val="nil"/>
              <w:left w:val="nil"/>
              <w:bottom w:val="nil"/>
              <w:right w:val="nil"/>
            </w:tcBorders>
            <w:tcMar>
              <w:top w:w="0" w:type="dxa"/>
              <w:left w:w="62" w:type="dxa"/>
              <w:bottom w:w="0" w:type="dxa"/>
              <w:right w:w="62" w:type="dxa"/>
            </w:tcMar>
          </w:tcPr>
          <w:p w:rsidR="00000000" w:rsidP="00116CA1">
            <w:pPr>
              <w:pStyle w:val="ListBullet"/>
              <w:rPr>
                <w:lang w:val="en-NZ"/>
              </w:rPr>
            </w:pPr>
            <w:r w:rsidRPr="00116CA1">
              <w:t xml:space="preserve">that prescribed under legislation, regulations and enterprise policies and practices </w:t>
            </w:r>
          </w:p>
        </w:tc>
      </w:tr>
      <w:tr w:rsidTr="00116C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CA1">
            <w:pPr>
              <w:pStyle w:val="BodyText"/>
              <w:rPr>
                <w:lang w:val="en-NZ"/>
              </w:rPr>
            </w:pPr>
            <w:r w:rsidRPr="00116CA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16CA1" w:rsidP="00116CA1">
            <w:pPr>
              <w:pStyle w:val="ListBullet"/>
            </w:pPr>
            <w:r w:rsidRPr="00116CA1">
              <w:t xml:space="preserve">workplace procedures relating to the use of tools and equipment </w:t>
            </w:r>
          </w:p>
          <w:p w:rsidR="00000000" w:rsidRPr="00116CA1" w:rsidP="00116CA1">
            <w:pPr>
              <w:pStyle w:val="ListBullet"/>
            </w:pPr>
            <w:r w:rsidRPr="00116CA1">
              <w:t>work instructions, including job sheets</w:t>
            </w:r>
            <w:r w:rsidRPr="00116CA1">
              <w:t xml:space="preserve">, cutting lists, plans, drawings and designs </w:t>
            </w:r>
          </w:p>
          <w:p w:rsidR="00000000" w:rsidRPr="00116CA1" w:rsidP="00116CA1">
            <w:pPr>
              <w:pStyle w:val="ListBullet"/>
            </w:pPr>
            <w:r w:rsidRPr="00116CA1">
              <w:t xml:space="preserve">workplace procedures relating to reporting and communication </w:t>
            </w:r>
          </w:p>
          <w:p w:rsidR="00000000" w:rsidRPr="00116CA1" w:rsidP="00116CA1">
            <w:pPr>
              <w:pStyle w:val="ListBullet"/>
            </w:pPr>
            <w:r w:rsidRPr="00116CA1">
              <w:t>manufacturer specifications and operational procedures</w:t>
            </w:r>
          </w:p>
        </w:tc>
      </w:tr>
    </w:tbl>
    <w:p w:rsidR="00000000" w:rsidRPr="00116CA1" w:rsidP="00116CA1">
      <w:pPr>
        <w:pStyle w:val="BodyText"/>
      </w:pPr>
    </w:p>
    <w:p w:rsidR="00000000" w:rsidRPr="00116CA1" w:rsidP="00116CA1">
      <w:pPr>
        <w:pStyle w:val="AllowPageBreak"/>
      </w:pPr>
    </w:p>
    <w:p w:rsidR="00000000" w:rsidRPr="00116CA1" w:rsidP="00116CA1">
      <w:pPr>
        <w:pStyle w:val="Heading1"/>
      </w:pPr>
      <w:bookmarkStart w:id="9" w:name="O_623173"/>
      <w:bookmarkEnd w:id="9"/>
      <w:r w:rsidRPr="00116CA1">
        <w:t>Unit Mapping Information</w:t>
      </w:r>
    </w:p>
    <w:p w:rsidR="00000000" w:rsidRPr="00116CA1" w:rsidP="00E67523">
      <w:pPr>
        <w:pStyle w:val="BodyText"/>
      </w:pPr>
      <w:r w:rsidRPr="00116CA1">
        <w:t>Supersedes and is equivalent to LMFPT3016A Provide advice to customers on piano tuning and repair.</w:t>
      </w:r>
    </w:p>
    <w:p w:rsidR="00000000" w:rsidRPr="00116CA1" w:rsidP="00116CA1">
      <w:pPr>
        <w:pStyle w:val="Heading1"/>
      </w:pPr>
      <w:bookmarkStart w:id="10" w:name="O_623166"/>
      <w:bookmarkEnd w:id="10"/>
      <w:r w:rsidRPr="00116CA1">
        <w:t>Links</w:t>
      </w:r>
    </w:p>
    <w:p w:rsidR="00000000" w:rsidRPr="00116CA1" w:rsidP="00E67523">
      <w:pPr>
        <w:pStyle w:val="BodyText"/>
      </w:pPr>
      <w:r w:rsidRPr="00116C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1C31">
        <w:rPr>
          <w:rStyle w:val="Hyperlink"/>
        </w:rPr>
        <w:t>https://vetnet.gov.au/Pages/TrainingDocs.aspx?q=0601ab95-583a-4e93-b2d4-cfb27b03ed73</w:t>
      </w:r>
      <w:r>
        <w:fldChar w:fldCharType="end"/>
      </w:r>
    </w:p>
    <w:p w:rsidR="00000000" w:rsidRPr="00116CA1" w:rsidP="00116CA1"/>
    <w:sectPr w:rsidSect="00116C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1" w:rsidRPr="00E67523" w:rsidP="00E67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23" w:rsidP="00116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7523" w:rsidP="00116C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7523" w:rsidP="00116C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CA1" w:rsidRPr="00E67523" w:rsidP="00E675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523" w:rsidRPr="002D2AF8" w:rsidP="00116CA1">
    <w:pPr>
      <w:pStyle w:val="Header"/>
      <w:framePr w:wrap="around"/>
    </w:pPr>
    <w:r>
      <w:fldChar w:fldCharType="begin"/>
    </w:r>
    <w:r>
      <w:instrText xml:space="preserve"> TITLE   \* MERGEFORMAT </w:instrText>
    </w:r>
    <w:r>
      <w:fldChar w:fldCharType="separate"/>
    </w:r>
    <w:r>
      <w:t>MSFPT3016 Provide advice to customers on piano tuning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67523" w:rsidP="00116C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5AA1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B6A8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C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CA1"/>
    <w:pPr>
      <w:spacing w:before="360" w:after="60"/>
      <w:outlineLvl w:val="0"/>
    </w:pPr>
    <w:rPr>
      <w:sz w:val="32"/>
    </w:rPr>
  </w:style>
  <w:style w:type="paragraph" w:styleId="Heading2">
    <w:name w:val="heading 2"/>
    <w:basedOn w:val="HeadingBase"/>
    <w:next w:val="BodyText"/>
    <w:link w:val="Heading2Char"/>
    <w:qFormat/>
    <w:rsid w:val="00116CA1"/>
    <w:pPr>
      <w:keepLines/>
      <w:spacing w:before="240" w:after="120"/>
      <w:outlineLvl w:val="1"/>
    </w:pPr>
    <w:rPr>
      <w:sz w:val="28"/>
      <w:szCs w:val="40"/>
    </w:rPr>
  </w:style>
  <w:style w:type="paragraph" w:styleId="Heading3">
    <w:name w:val="heading 3"/>
    <w:basedOn w:val="HeadingBase"/>
    <w:next w:val="BodyText"/>
    <w:link w:val="Heading3Char"/>
    <w:qFormat/>
    <w:rsid w:val="00116CA1"/>
    <w:pPr>
      <w:spacing w:before="180" w:after="120"/>
      <w:outlineLvl w:val="2"/>
    </w:pPr>
    <w:rPr>
      <w:spacing w:val="-10"/>
      <w:kern w:val="32"/>
    </w:rPr>
  </w:style>
  <w:style w:type="paragraph" w:styleId="Heading4">
    <w:name w:val="heading 4"/>
    <w:basedOn w:val="HeadingBase"/>
    <w:next w:val="BodyText"/>
    <w:link w:val="Heading4Char"/>
    <w:qFormat/>
    <w:rsid w:val="00116CA1"/>
    <w:pPr>
      <w:spacing w:before="160" w:after="120"/>
      <w:outlineLvl w:val="3"/>
    </w:pPr>
    <w:rPr>
      <w:sz w:val="22"/>
    </w:rPr>
  </w:style>
  <w:style w:type="paragraph" w:styleId="Heading5">
    <w:name w:val="heading 5"/>
    <w:basedOn w:val="HeadingBase"/>
    <w:next w:val="Normal"/>
    <w:link w:val="Heading5Char"/>
    <w:qFormat/>
    <w:rsid w:val="00116CA1"/>
    <w:pPr>
      <w:spacing w:before="80"/>
      <w:outlineLvl w:val="4"/>
    </w:pPr>
    <w:rPr>
      <w:color w:val="918585"/>
      <w:sz w:val="20"/>
    </w:rPr>
  </w:style>
  <w:style w:type="paragraph" w:styleId="Heading6">
    <w:name w:val="heading 6"/>
    <w:basedOn w:val="HeadingBase"/>
    <w:next w:val="Normal"/>
    <w:link w:val="Heading6Char"/>
    <w:qFormat/>
    <w:rsid w:val="00116CA1"/>
    <w:pPr>
      <w:spacing w:before="60"/>
      <w:outlineLvl w:val="5"/>
    </w:pPr>
    <w:rPr>
      <w:color w:val="918585"/>
      <w:sz w:val="20"/>
    </w:rPr>
  </w:style>
  <w:style w:type="paragraph" w:styleId="Heading7">
    <w:name w:val="heading 7"/>
    <w:basedOn w:val="Normal"/>
    <w:next w:val="Normal"/>
    <w:link w:val="Heading7Char"/>
    <w:qFormat/>
    <w:rsid w:val="00116CA1"/>
    <w:pPr>
      <w:ind w:left="720"/>
      <w:outlineLvl w:val="6"/>
    </w:pPr>
    <w:rPr>
      <w:i/>
    </w:rPr>
  </w:style>
  <w:style w:type="paragraph" w:styleId="Heading8">
    <w:name w:val="heading 8"/>
    <w:basedOn w:val="Normal"/>
    <w:next w:val="Normal"/>
    <w:link w:val="Heading8Char"/>
    <w:qFormat/>
    <w:rsid w:val="00116CA1"/>
    <w:pPr>
      <w:ind w:left="720"/>
      <w:outlineLvl w:val="7"/>
    </w:pPr>
    <w:rPr>
      <w:i/>
    </w:rPr>
  </w:style>
  <w:style w:type="paragraph" w:styleId="Heading9">
    <w:name w:val="heading 9"/>
    <w:basedOn w:val="Normal"/>
    <w:next w:val="Normal"/>
    <w:link w:val="Heading9Char"/>
    <w:qFormat/>
    <w:rsid w:val="00116CA1"/>
    <w:pPr>
      <w:ind w:left="720"/>
      <w:outlineLvl w:val="8"/>
    </w:pPr>
    <w:rPr>
      <w:i/>
    </w:rPr>
  </w:style>
  <w:style w:type="character" w:default="1" w:styleId="DefaultParagraphFont">
    <w:name w:val="Default Paragraph Font"/>
    <w:uiPriority w:val="1"/>
    <w:unhideWhenUsed/>
    <w:rsid w:val="00116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CA1"/>
  </w:style>
  <w:style w:type="character" w:customStyle="1" w:styleId="Heading1Char">
    <w:name w:val="Heading 1 Char"/>
    <w:basedOn w:val="DefaultParagraphFont"/>
    <w:link w:val="Heading1"/>
    <w:rsid w:val="00116CA1"/>
    <w:rPr>
      <w:rFonts w:ascii="Times New Roman" w:eastAsia="Times New Roman" w:hAnsi="Times New Roman" w:cs="Times New Roman"/>
      <w:b/>
      <w:sz w:val="32"/>
      <w:szCs w:val="20"/>
      <w:lang w:eastAsia="en-US"/>
    </w:rPr>
  </w:style>
  <w:style w:type="paragraph" w:styleId="BodyText">
    <w:name w:val="Body Text"/>
    <w:basedOn w:val="Normal"/>
    <w:link w:val="BodyTextChar"/>
    <w:rsid w:val="00116C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CA1"/>
    <w:rPr>
      <w:rFonts w:ascii="Times New Roman" w:eastAsia="Times New Roman" w:hAnsi="Times New Roman" w:cs="Times New Roman"/>
      <w:sz w:val="24"/>
      <w:lang w:eastAsia="en-US"/>
    </w:rPr>
  </w:style>
  <w:style w:type="paragraph" w:styleId="ListBullet">
    <w:name w:val="List Bullet"/>
    <w:basedOn w:val="List"/>
    <w:rsid w:val="00116CA1"/>
    <w:pPr>
      <w:numPr>
        <w:numId w:val="11"/>
      </w:numPr>
      <w:tabs>
        <w:tab w:val="clear" w:pos="340"/>
      </w:tabs>
      <w:spacing w:before="40" w:after="40"/>
    </w:pPr>
  </w:style>
  <w:style w:type="character" w:customStyle="1" w:styleId="SpecialBold">
    <w:name w:val="Special Bold"/>
    <w:basedOn w:val="DefaultParagraphFont"/>
    <w:rsid w:val="00116CA1"/>
    <w:rPr>
      <w:b/>
      <w:spacing w:val="0"/>
    </w:rPr>
  </w:style>
  <w:style w:type="paragraph" w:customStyle="1" w:styleId="SuperHeading">
    <w:name w:val="SuperHeading"/>
    <w:basedOn w:val="Normal"/>
    <w:rsid w:val="00116CA1"/>
    <w:pPr>
      <w:spacing w:before="240" w:after="120"/>
      <w:outlineLvl w:val="0"/>
    </w:pPr>
    <w:rPr>
      <w:rFonts w:ascii="Times New Roman" w:hAnsi="Times New Roman"/>
      <w:b/>
      <w:sz w:val="32"/>
    </w:rPr>
  </w:style>
  <w:style w:type="paragraph" w:customStyle="1" w:styleId="AllowPageBreak">
    <w:name w:val="AllowPageBreak"/>
    <w:rsid w:val="00116C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C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C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CA1"/>
    <w:rPr>
      <w:rFonts w:ascii="Courier New" w:eastAsia="Times New Roman" w:hAnsi="Courier New" w:cs="Times New Roman"/>
      <w:i/>
      <w:szCs w:val="20"/>
      <w:lang w:eastAsia="en-US"/>
    </w:rPr>
  </w:style>
  <w:style w:type="paragraph" w:customStyle="1" w:styleId="HeadingBase">
    <w:name w:val="Heading Base"/>
    <w:rsid w:val="00116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CA1"/>
    <w:pPr>
      <w:tabs>
        <w:tab w:val="right" w:leader="dot" w:pos="9072"/>
      </w:tabs>
      <w:ind w:left="567"/>
    </w:pPr>
    <w:rPr>
      <w:szCs w:val="22"/>
    </w:rPr>
  </w:style>
  <w:style w:type="paragraph" w:customStyle="1" w:styleId="TOCBase">
    <w:name w:val="TOC Base"/>
    <w:rsid w:val="00116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CA1"/>
    <w:pPr>
      <w:tabs>
        <w:tab w:val="right" w:leader="dot" w:pos="9072"/>
      </w:tabs>
      <w:spacing w:before="40" w:after="40"/>
      <w:ind w:left="284"/>
    </w:pPr>
    <w:rPr>
      <w:rFonts w:ascii="Times New Roman" w:hAnsi="Times New Roman"/>
    </w:rPr>
  </w:style>
  <w:style w:type="paragraph" w:styleId="TOC1">
    <w:name w:val="toc 1"/>
    <w:basedOn w:val="TOCBase"/>
    <w:next w:val="Normal"/>
    <w:rsid w:val="00116C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CA1"/>
    <w:rPr>
      <w:rFonts w:ascii="Times New Roman" w:eastAsia="Times New Roman" w:hAnsi="Times New Roman" w:cs="Times New Roman"/>
      <w:sz w:val="16"/>
      <w:lang w:eastAsia="en-US"/>
    </w:rPr>
  </w:style>
  <w:style w:type="paragraph" w:styleId="Title">
    <w:name w:val="Title"/>
    <w:basedOn w:val="HeadingBase"/>
    <w:link w:val="TitleChar"/>
    <w:qFormat/>
    <w:rsid w:val="00116CA1"/>
    <w:pPr>
      <w:spacing w:before="5040"/>
      <w:jc w:val="center"/>
    </w:pPr>
    <w:rPr>
      <w:sz w:val="48"/>
      <w:szCs w:val="72"/>
      <w:lang w:val="en-US"/>
    </w:rPr>
  </w:style>
  <w:style w:type="character" w:customStyle="1" w:styleId="TitleChar">
    <w:name w:val="Title Char"/>
    <w:basedOn w:val="DefaultParagraphFont"/>
    <w:link w:val="Title"/>
    <w:rsid w:val="00116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CA1"/>
    <w:pPr>
      <w:tabs>
        <w:tab w:val="left" w:pos="3600"/>
        <w:tab w:val="left" w:pos="3958"/>
      </w:tabs>
    </w:pPr>
  </w:style>
  <w:style w:type="paragraph" w:styleId="List">
    <w:name w:val="List"/>
    <w:basedOn w:val="BodyText"/>
    <w:next w:val="BodyText"/>
    <w:rsid w:val="00116CA1"/>
    <w:pPr>
      <w:tabs>
        <w:tab w:val="left" w:pos="340"/>
      </w:tabs>
      <w:spacing w:before="60" w:after="60"/>
      <w:ind w:left="340" w:hanging="340"/>
    </w:pPr>
  </w:style>
  <w:style w:type="paragraph" w:customStyle="1" w:styleId="Note">
    <w:name w:val="Note"/>
    <w:basedOn w:val="BodyText"/>
    <w:rsid w:val="00116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CA1"/>
    <w:pPr>
      <w:framePr w:wrap="auto" w:hAnchor="text" w:y="6049"/>
    </w:pPr>
    <w:rPr>
      <w:color w:val="000000"/>
      <w:sz w:val="40"/>
    </w:rPr>
  </w:style>
  <w:style w:type="paragraph" w:customStyle="1" w:styleId="TOCTitle">
    <w:name w:val="TOCTitle"/>
    <w:basedOn w:val="Heading1"/>
    <w:rsid w:val="00116CA1"/>
    <w:pPr>
      <w:spacing w:after="240"/>
      <w:jc w:val="center"/>
      <w:outlineLvl w:val="9"/>
    </w:pPr>
    <w:rPr>
      <w:caps/>
    </w:rPr>
  </w:style>
  <w:style w:type="paragraph" w:customStyle="1" w:styleId="Version">
    <w:name w:val="Version"/>
    <w:rsid w:val="00116C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6CA1"/>
    <w:pPr>
      <w:numPr>
        <w:numId w:val="12"/>
      </w:numPr>
      <w:tabs>
        <w:tab w:val="clear" w:pos="680"/>
      </w:tabs>
    </w:pPr>
  </w:style>
  <w:style w:type="paragraph" w:styleId="Index1">
    <w:name w:val="index 1"/>
    <w:basedOn w:val="Normal"/>
    <w:next w:val="Normal"/>
    <w:semiHidden/>
    <w:rsid w:val="00116CA1"/>
    <w:pPr>
      <w:keepNext w:val="0"/>
      <w:tabs>
        <w:tab w:val="right" w:pos="4176"/>
      </w:tabs>
      <w:ind w:left="198" w:hanging="198"/>
    </w:pPr>
    <w:rPr>
      <w:rFonts w:ascii="Garamond" w:hAnsi="Garamond"/>
    </w:rPr>
  </w:style>
  <w:style w:type="paragraph" w:styleId="IndexHeading">
    <w:name w:val="index heading"/>
    <w:basedOn w:val="Normal"/>
    <w:next w:val="Index1"/>
    <w:semiHidden/>
    <w:rsid w:val="00116CA1"/>
    <w:pPr>
      <w:spacing w:before="120" w:after="120"/>
    </w:pPr>
    <w:rPr>
      <w:rFonts w:ascii="Arial" w:hAnsi="Arial"/>
      <w:b/>
      <w:color w:val="918585"/>
      <w:sz w:val="24"/>
    </w:rPr>
  </w:style>
  <w:style w:type="paragraph" w:styleId="Header">
    <w:name w:val="header"/>
    <w:basedOn w:val="Normal"/>
    <w:link w:val="HeaderChar"/>
    <w:rsid w:val="00116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CA1"/>
    <w:rPr>
      <w:rFonts w:ascii="Times New Roman" w:eastAsia="Times New Roman" w:hAnsi="Times New Roman" w:cs="Times New Roman"/>
      <w:sz w:val="16"/>
      <w:szCs w:val="20"/>
      <w:lang w:val="en-GB" w:eastAsia="en-US"/>
    </w:rPr>
  </w:style>
  <w:style w:type="paragraph" w:customStyle="1" w:styleId="Chapter">
    <w:name w:val="Chapter"/>
    <w:basedOn w:val="Normal"/>
    <w:rsid w:val="00116CA1"/>
    <w:pPr>
      <w:spacing w:before="240"/>
    </w:pPr>
    <w:rPr>
      <w:rFonts w:ascii="Times New Roman" w:hAnsi="Times New Roman"/>
      <w:smallCaps/>
      <w:spacing w:val="80"/>
      <w:sz w:val="28"/>
    </w:rPr>
  </w:style>
  <w:style w:type="paragraph" w:customStyle="1" w:styleId="InChapter">
    <w:name w:val="InChapter"/>
    <w:basedOn w:val="Heading3"/>
    <w:rsid w:val="00116CA1"/>
    <w:pPr>
      <w:spacing w:after="240"/>
      <w:outlineLvl w:val="9"/>
    </w:pPr>
    <w:rPr>
      <w:noProof/>
    </w:rPr>
  </w:style>
  <w:style w:type="paragraph" w:styleId="Index2">
    <w:name w:val="index 2"/>
    <w:basedOn w:val="Normal"/>
    <w:next w:val="Normal"/>
    <w:semiHidden/>
    <w:rsid w:val="00116CA1"/>
    <w:pPr>
      <w:tabs>
        <w:tab w:val="right" w:pos="4176"/>
      </w:tabs>
      <w:ind w:left="568" w:hanging="284"/>
    </w:pPr>
    <w:rPr>
      <w:rFonts w:ascii="Garamond" w:hAnsi="Garamond"/>
    </w:rPr>
  </w:style>
  <w:style w:type="paragraph" w:customStyle="1" w:styleId="Byline">
    <w:name w:val="Byline"/>
    <w:rsid w:val="00116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CA1"/>
    <w:pPr>
      <w:tabs>
        <w:tab w:val="clear" w:pos="3600"/>
        <w:tab w:val="clear" w:pos="3958"/>
      </w:tabs>
      <w:jc w:val="right"/>
    </w:pPr>
  </w:style>
  <w:style w:type="character" w:styleId="Emphasis">
    <w:name w:val="Emphasis"/>
    <w:basedOn w:val="DefaultParagraphFont"/>
    <w:qFormat/>
    <w:rsid w:val="00116CA1"/>
    <w:rPr>
      <w:i/>
    </w:rPr>
  </w:style>
  <w:style w:type="paragraph" w:styleId="Caption">
    <w:name w:val="caption"/>
    <w:basedOn w:val="BodyText"/>
    <w:next w:val="Normal"/>
    <w:qFormat/>
    <w:rsid w:val="00116CA1"/>
    <w:pPr>
      <w:framePr w:w="2268" w:hSpace="181" w:vSpace="181" w:wrap="around" w:vAnchor="text" w:hAnchor="page" w:x="1135" w:y="285" w:anchorLock="1"/>
    </w:pPr>
    <w:rPr>
      <w:i/>
    </w:rPr>
  </w:style>
  <w:style w:type="paragraph" w:customStyle="1" w:styleId="MiniTOCTitle">
    <w:name w:val="MiniTOCTitle"/>
    <w:basedOn w:val="Heading4"/>
    <w:rsid w:val="00116CA1"/>
    <w:pPr>
      <w:spacing w:before="240"/>
      <w:outlineLvl w:val="9"/>
    </w:pPr>
    <w:rPr>
      <w:noProof/>
      <w:sz w:val="24"/>
    </w:rPr>
  </w:style>
  <w:style w:type="paragraph" w:customStyle="1" w:styleId="MiniTOCItem">
    <w:name w:val="MiniTOCItem"/>
    <w:basedOn w:val="ListBullet"/>
    <w:rsid w:val="00116CA1"/>
    <w:pPr>
      <w:numPr>
        <w:numId w:val="0"/>
      </w:numPr>
      <w:tabs>
        <w:tab w:val="right" w:leader="dot" w:pos="6521"/>
      </w:tabs>
      <w:spacing w:before="0" w:after="0"/>
    </w:pPr>
  </w:style>
  <w:style w:type="paragraph" w:customStyle="1" w:styleId="TOFTitle">
    <w:name w:val="TOFTitle"/>
    <w:basedOn w:val="TOCTitle"/>
    <w:rsid w:val="00116CA1"/>
  </w:style>
  <w:style w:type="paragraph" w:styleId="TableofFigures">
    <w:name w:val="table of figures"/>
    <w:basedOn w:val="Normal"/>
    <w:next w:val="Normal"/>
    <w:semiHidden/>
    <w:rsid w:val="00116CA1"/>
    <w:pPr>
      <w:tabs>
        <w:tab w:val="right" w:leader="dot" w:pos="9072"/>
      </w:tabs>
      <w:ind w:left="970" w:hanging="403"/>
    </w:pPr>
    <w:rPr>
      <w:rFonts w:ascii="Times New Roman" w:hAnsi="Times New Roman"/>
      <w:b/>
    </w:rPr>
  </w:style>
  <w:style w:type="paragraph" w:styleId="ListNumber">
    <w:name w:val="List Number"/>
    <w:basedOn w:val="List"/>
    <w:rsid w:val="00116CA1"/>
    <w:pPr>
      <w:numPr>
        <w:numId w:val="14"/>
      </w:numPr>
      <w:tabs>
        <w:tab w:val="clear" w:pos="340"/>
      </w:tabs>
    </w:pPr>
  </w:style>
  <w:style w:type="character" w:customStyle="1" w:styleId="WingdingSymbols">
    <w:name w:val="Wingding Symbols"/>
    <w:rsid w:val="00116CA1"/>
    <w:rPr>
      <w:rFonts w:ascii="Wingdings" w:hAnsi="Wingdings"/>
    </w:rPr>
  </w:style>
  <w:style w:type="paragraph" w:customStyle="1" w:styleId="TableHeading">
    <w:name w:val="Table Heading"/>
    <w:basedOn w:val="HeadingBase"/>
    <w:rsid w:val="00116CA1"/>
    <w:pPr>
      <w:keepLines/>
      <w:pBdr>
        <w:bottom w:val="single" w:sz="6" w:space="1" w:color="918585"/>
      </w:pBdr>
      <w:spacing w:before="240"/>
    </w:pPr>
  </w:style>
  <w:style w:type="character" w:customStyle="1" w:styleId="HotSpot">
    <w:name w:val="HotSpot"/>
    <w:rsid w:val="00116CA1"/>
    <w:rPr>
      <w:color w:val="0033CC"/>
      <w:u w:val="none"/>
    </w:rPr>
  </w:style>
  <w:style w:type="paragraph" w:customStyle="1" w:styleId="BodyTextRight">
    <w:name w:val="Body Text Right"/>
    <w:basedOn w:val="BodyText"/>
    <w:rsid w:val="00116CA1"/>
    <w:pPr>
      <w:spacing w:before="0" w:after="0"/>
      <w:jc w:val="right"/>
    </w:pPr>
  </w:style>
  <w:style w:type="paragraph" w:styleId="Index3">
    <w:name w:val="index 3"/>
    <w:basedOn w:val="ListNumber2"/>
    <w:next w:val="Normal"/>
    <w:semiHidden/>
    <w:rsid w:val="00116CA1"/>
    <w:pPr>
      <w:numPr>
        <w:numId w:val="0"/>
      </w:numPr>
      <w:tabs>
        <w:tab w:val="right" w:leader="dot" w:pos="4176"/>
      </w:tabs>
    </w:pPr>
  </w:style>
  <w:style w:type="paragraph" w:styleId="ListNumber2">
    <w:name w:val="List Number 2"/>
    <w:basedOn w:val="List2"/>
    <w:rsid w:val="00116CA1"/>
    <w:pPr>
      <w:numPr>
        <w:numId w:val="9"/>
      </w:numPr>
      <w:tabs>
        <w:tab w:val="clear" w:pos="1060"/>
      </w:tabs>
    </w:pPr>
  </w:style>
  <w:style w:type="paragraph" w:customStyle="1" w:styleId="MarginNote">
    <w:name w:val="Margin Note"/>
    <w:basedOn w:val="BodyText"/>
    <w:rsid w:val="00116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C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CA1"/>
    <w:rPr>
      <w:sz w:val="32"/>
    </w:rPr>
  </w:style>
  <w:style w:type="paragraph" w:customStyle="1" w:styleId="HeadingProcedure">
    <w:name w:val="Heading Procedure"/>
    <w:basedOn w:val="HeadingBase"/>
    <w:next w:val="Normal"/>
    <w:rsid w:val="00116CA1"/>
    <w:pPr>
      <w:tabs>
        <w:tab w:val="left" w:pos="0"/>
      </w:tabs>
      <w:spacing w:before="120" w:after="60"/>
    </w:pPr>
    <w:rPr>
      <w:i/>
      <w:color w:val="918585"/>
      <w:sz w:val="22"/>
    </w:rPr>
  </w:style>
  <w:style w:type="paragraph" w:customStyle="1" w:styleId="TableBodyText">
    <w:name w:val="Table Body Text"/>
    <w:basedOn w:val="BodyText"/>
    <w:rsid w:val="00116CA1"/>
    <w:pPr>
      <w:spacing w:before="60" w:after="60"/>
    </w:pPr>
  </w:style>
  <w:style w:type="paragraph" w:styleId="ListContinue">
    <w:name w:val="List Continue"/>
    <w:basedOn w:val="List"/>
    <w:rsid w:val="00116CA1"/>
    <w:pPr>
      <w:ind w:firstLine="0"/>
    </w:pPr>
  </w:style>
  <w:style w:type="paragraph" w:customStyle="1" w:styleId="ListNote">
    <w:name w:val="List Note"/>
    <w:basedOn w:val="List"/>
    <w:rsid w:val="00116CA1"/>
    <w:pPr>
      <w:pBdr>
        <w:top w:val="single" w:sz="6" w:space="2" w:color="918585"/>
        <w:bottom w:val="single" w:sz="6" w:space="2" w:color="918585"/>
      </w:pBdr>
      <w:tabs>
        <w:tab w:val="left" w:pos="1021"/>
      </w:tabs>
      <w:ind w:firstLine="0"/>
    </w:pPr>
  </w:style>
  <w:style w:type="paragraph" w:customStyle="1" w:styleId="Warning">
    <w:name w:val="Warning"/>
    <w:basedOn w:val="BodyText"/>
    <w:rsid w:val="00116CA1"/>
    <w:pPr>
      <w:shd w:val="clear" w:color="auto" w:fill="D9D9D9"/>
      <w:tabs>
        <w:tab w:val="left" w:pos="992"/>
      </w:tabs>
      <w:ind w:left="119" w:right="119"/>
    </w:pPr>
    <w:rPr>
      <w:sz w:val="20"/>
    </w:rPr>
  </w:style>
  <w:style w:type="paragraph" w:customStyle="1" w:styleId="MarginIcons">
    <w:name w:val="Margin Icons"/>
    <w:basedOn w:val="BodyText"/>
    <w:rsid w:val="00116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CA1"/>
    <w:rPr>
      <w:rFonts w:ascii="Courier New" w:hAnsi="Courier New"/>
    </w:rPr>
  </w:style>
  <w:style w:type="paragraph" w:customStyle="1" w:styleId="NoteBullet">
    <w:name w:val="Note Bullet"/>
    <w:basedOn w:val="Note"/>
    <w:rsid w:val="00116CA1"/>
    <w:pPr>
      <w:tabs>
        <w:tab w:val="clear" w:pos="680"/>
      </w:tabs>
      <w:spacing w:before="60" w:after="60"/>
    </w:pPr>
  </w:style>
  <w:style w:type="paragraph" w:customStyle="1" w:styleId="SubHeading2">
    <w:name w:val="SubHeading2"/>
    <w:basedOn w:val="HeadingBase"/>
    <w:rsid w:val="00116CA1"/>
    <w:pPr>
      <w:spacing w:before="240" w:after="60"/>
    </w:pPr>
    <w:rPr>
      <w:sz w:val="20"/>
    </w:rPr>
  </w:style>
  <w:style w:type="paragraph" w:customStyle="1" w:styleId="SubHeading1">
    <w:name w:val="SubHeading1"/>
    <w:basedOn w:val="HeadingBase"/>
    <w:rsid w:val="00116CA1"/>
    <w:pPr>
      <w:spacing w:before="240" w:after="60"/>
    </w:pPr>
    <w:rPr>
      <w:color w:val="918585"/>
      <w:sz w:val="22"/>
    </w:rPr>
  </w:style>
  <w:style w:type="paragraph" w:customStyle="1" w:styleId="SideHeading">
    <w:name w:val="Side Heading"/>
    <w:basedOn w:val="HeadingBase"/>
    <w:rsid w:val="00116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CA1"/>
    <w:pPr>
      <w:numPr>
        <w:numId w:val="10"/>
      </w:numPr>
    </w:pPr>
  </w:style>
  <w:style w:type="paragraph" w:styleId="PlainText">
    <w:name w:val="Plain Text"/>
    <w:basedOn w:val="Normal"/>
    <w:link w:val="PlainTextChar"/>
    <w:rsid w:val="00116CA1"/>
    <w:rPr>
      <w:sz w:val="20"/>
    </w:rPr>
  </w:style>
  <w:style w:type="character" w:customStyle="1" w:styleId="PlainTextChar">
    <w:name w:val="Plain Text Char"/>
    <w:basedOn w:val="DefaultParagraphFont"/>
    <w:link w:val="PlainText"/>
    <w:rsid w:val="00116CA1"/>
    <w:rPr>
      <w:rFonts w:ascii="Courier New" w:eastAsia="Times New Roman" w:hAnsi="Courier New" w:cs="Times New Roman"/>
      <w:sz w:val="20"/>
      <w:szCs w:val="20"/>
      <w:lang w:eastAsia="en-US"/>
    </w:rPr>
  </w:style>
  <w:style w:type="character" w:customStyle="1" w:styleId="MenuOption">
    <w:name w:val="Menu Option"/>
    <w:basedOn w:val="DefaultParagraphFont"/>
    <w:rsid w:val="00116CA1"/>
    <w:rPr>
      <w:b/>
      <w:smallCaps/>
    </w:rPr>
  </w:style>
  <w:style w:type="paragraph" w:customStyle="1" w:styleId="TableListNumber">
    <w:name w:val="Table List Number"/>
    <w:basedOn w:val="ListNumber"/>
    <w:rsid w:val="00116CA1"/>
    <w:pPr>
      <w:numPr>
        <w:numId w:val="0"/>
      </w:numPr>
    </w:pPr>
  </w:style>
  <w:style w:type="paragraph" w:styleId="TOC4">
    <w:name w:val="toc 4"/>
    <w:basedOn w:val="TOCBase"/>
    <w:next w:val="Normal"/>
    <w:semiHidden/>
    <w:rsid w:val="00116CA1"/>
    <w:pPr>
      <w:tabs>
        <w:tab w:val="right" w:leader="dot" w:pos="9071"/>
      </w:tabs>
      <w:ind w:left="1701"/>
    </w:pPr>
  </w:style>
  <w:style w:type="paragraph" w:customStyle="1" w:styleId="ListAlpha">
    <w:name w:val="List Alpha"/>
    <w:basedOn w:val="List"/>
    <w:rsid w:val="00116CA1"/>
    <w:pPr>
      <w:numPr>
        <w:numId w:val="8"/>
      </w:numPr>
    </w:pPr>
  </w:style>
  <w:style w:type="paragraph" w:customStyle="1" w:styleId="ListAlpha2">
    <w:name w:val="List Alpha 2"/>
    <w:basedOn w:val="List2"/>
    <w:rsid w:val="00116CA1"/>
    <w:pPr>
      <w:numPr>
        <w:numId w:val="7"/>
      </w:numPr>
    </w:pPr>
  </w:style>
  <w:style w:type="paragraph" w:styleId="List2">
    <w:name w:val="List 2"/>
    <w:basedOn w:val="BodyText"/>
    <w:rsid w:val="00116CA1"/>
    <w:pPr>
      <w:tabs>
        <w:tab w:val="left" w:pos="680"/>
      </w:tabs>
      <w:spacing w:before="60" w:after="60"/>
      <w:ind w:left="680" w:hanging="340"/>
    </w:pPr>
  </w:style>
  <w:style w:type="paragraph" w:styleId="List3">
    <w:name w:val="List 3"/>
    <w:basedOn w:val="BodyText"/>
    <w:rsid w:val="00116CA1"/>
    <w:pPr>
      <w:tabs>
        <w:tab w:val="left" w:pos="1021"/>
      </w:tabs>
      <w:spacing w:before="60" w:after="60"/>
      <w:ind w:left="1020" w:hanging="340"/>
    </w:pPr>
  </w:style>
  <w:style w:type="paragraph" w:styleId="List4">
    <w:name w:val="List 4"/>
    <w:basedOn w:val="BodyText"/>
    <w:rsid w:val="00116CA1"/>
    <w:pPr>
      <w:tabs>
        <w:tab w:val="left" w:pos="1361"/>
      </w:tabs>
      <w:spacing w:before="60" w:after="60"/>
      <w:ind w:left="1361" w:hanging="340"/>
    </w:pPr>
  </w:style>
  <w:style w:type="paragraph" w:styleId="List5">
    <w:name w:val="List 5"/>
    <w:basedOn w:val="BodyText"/>
    <w:rsid w:val="00116CA1"/>
    <w:pPr>
      <w:tabs>
        <w:tab w:val="left" w:pos="1701"/>
      </w:tabs>
      <w:spacing w:before="60" w:after="60"/>
      <w:ind w:left="1701" w:hanging="340"/>
    </w:pPr>
  </w:style>
  <w:style w:type="paragraph" w:styleId="ListBullet3">
    <w:name w:val="List Bullet 3"/>
    <w:basedOn w:val="List3"/>
    <w:rsid w:val="00116CA1"/>
    <w:pPr>
      <w:numPr>
        <w:numId w:val="13"/>
      </w:numPr>
      <w:tabs>
        <w:tab w:val="clear" w:pos="1021"/>
      </w:tabs>
      <w:ind w:left="1037" w:hanging="357"/>
    </w:pPr>
  </w:style>
  <w:style w:type="paragraph" w:styleId="ListBullet4">
    <w:name w:val="List Bullet 4"/>
    <w:basedOn w:val="List4"/>
    <w:rsid w:val="00116CA1"/>
    <w:pPr>
      <w:numPr>
        <w:numId w:val="2"/>
      </w:numPr>
      <w:tabs>
        <w:tab w:val="clear" w:pos="1361"/>
      </w:tabs>
    </w:pPr>
  </w:style>
  <w:style w:type="paragraph" w:styleId="ListBullet5">
    <w:name w:val="List Bullet 5"/>
    <w:basedOn w:val="List5"/>
    <w:rsid w:val="00116CA1"/>
    <w:pPr>
      <w:numPr>
        <w:numId w:val="3"/>
      </w:numPr>
    </w:pPr>
  </w:style>
  <w:style w:type="paragraph" w:styleId="ListContinue2">
    <w:name w:val="List Continue 2"/>
    <w:basedOn w:val="List2"/>
    <w:rsid w:val="00116CA1"/>
    <w:pPr>
      <w:ind w:firstLine="0"/>
    </w:pPr>
  </w:style>
  <w:style w:type="paragraph" w:styleId="ListContinue3">
    <w:name w:val="List Continue 3"/>
    <w:basedOn w:val="List3"/>
    <w:rsid w:val="00116CA1"/>
    <w:pPr>
      <w:ind w:left="1021" w:firstLine="0"/>
    </w:pPr>
  </w:style>
  <w:style w:type="paragraph" w:styleId="ListContinue4">
    <w:name w:val="List Continue 4"/>
    <w:basedOn w:val="List4"/>
    <w:rsid w:val="00116CA1"/>
    <w:pPr>
      <w:ind w:firstLine="0"/>
    </w:pPr>
  </w:style>
  <w:style w:type="paragraph" w:styleId="ListContinue5">
    <w:name w:val="List Continue 5"/>
    <w:basedOn w:val="List5"/>
    <w:rsid w:val="00116CA1"/>
    <w:pPr>
      <w:ind w:firstLine="0"/>
    </w:pPr>
  </w:style>
  <w:style w:type="paragraph" w:styleId="ListNumber3">
    <w:name w:val="List Number 3"/>
    <w:basedOn w:val="List3"/>
    <w:rsid w:val="00116CA1"/>
    <w:pPr>
      <w:numPr>
        <w:numId w:val="4"/>
      </w:numPr>
    </w:pPr>
  </w:style>
  <w:style w:type="paragraph" w:styleId="ListNumber4">
    <w:name w:val="List Number 4"/>
    <w:basedOn w:val="List4"/>
    <w:rsid w:val="00116CA1"/>
    <w:pPr>
      <w:numPr>
        <w:numId w:val="5"/>
      </w:numPr>
    </w:pPr>
  </w:style>
  <w:style w:type="paragraph" w:styleId="ListNumber5">
    <w:name w:val="List Number 5"/>
    <w:basedOn w:val="List5"/>
    <w:rsid w:val="00116CA1"/>
    <w:pPr>
      <w:numPr>
        <w:numId w:val="6"/>
      </w:numPr>
    </w:pPr>
  </w:style>
  <w:style w:type="paragraph" w:styleId="BlockText">
    <w:name w:val="Block Text"/>
    <w:basedOn w:val="Normal"/>
    <w:rsid w:val="00116CA1"/>
    <w:pPr>
      <w:spacing w:after="120"/>
      <w:ind w:left="1440" w:right="1440"/>
    </w:pPr>
  </w:style>
  <w:style w:type="character" w:customStyle="1" w:styleId="Subscript">
    <w:name w:val="Subscript"/>
    <w:basedOn w:val="DefaultParagraphFont"/>
    <w:rsid w:val="00116CA1"/>
    <w:rPr>
      <w:sz w:val="16"/>
      <w:vertAlign w:val="subscript"/>
    </w:rPr>
  </w:style>
  <w:style w:type="character" w:customStyle="1" w:styleId="Superscript">
    <w:name w:val="Superscript"/>
    <w:basedOn w:val="DefaultParagraphFont"/>
    <w:rsid w:val="00116CA1"/>
    <w:rPr>
      <w:sz w:val="16"/>
      <w:vertAlign w:val="superscript"/>
    </w:rPr>
  </w:style>
  <w:style w:type="character" w:customStyle="1" w:styleId="Symbols">
    <w:name w:val="Symbols"/>
    <w:basedOn w:val="DefaultParagraphFont"/>
    <w:rsid w:val="00116CA1"/>
    <w:rPr>
      <w:rFonts w:ascii="Symbol" w:hAnsi="Symbol"/>
    </w:rPr>
  </w:style>
  <w:style w:type="character" w:customStyle="1" w:styleId="MenuOptions">
    <w:name w:val="Menu Options"/>
    <w:basedOn w:val="DefaultParagraphFont"/>
    <w:rsid w:val="00116CA1"/>
    <w:rPr>
      <w:rFonts w:ascii="Arial Narrow" w:hAnsi="Arial Narrow"/>
      <w:smallCaps/>
    </w:rPr>
  </w:style>
  <w:style w:type="character" w:customStyle="1" w:styleId="Buttons">
    <w:name w:val="Buttons"/>
    <w:basedOn w:val="DefaultParagraphFont"/>
    <w:rsid w:val="00116CA1"/>
    <w:rPr>
      <w:b/>
    </w:rPr>
  </w:style>
  <w:style w:type="character" w:customStyle="1" w:styleId="Underlined">
    <w:name w:val="Underlined"/>
    <w:basedOn w:val="DefaultParagraphFont"/>
    <w:rsid w:val="00116CA1"/>
    <w:rPr>
      <w:u w:val="single"/>
    </w:rPr>
  </w:style>
  <w:style w:type="paragraph" w:customStyle="1" w:styleId="TableBodyTextRight">
    <w:name w:val="Table Body Text Right"/>
    <w:basedOn w:val="TableBodyText"/>
    <w:rsid w:val="00116CA1"/>
    <w:pPr>
      <w:widowControl w:val="0"/>
      <w:autoSpaceDE w:val="0"/>
      <w:autoSpaceDN w:val="0"/>
      <w:adjustRightInd w:val="0"/>
      <w:jc w:val="right"/>
    </w:pPr>
    <w:rPr>
      <w:rFonts w:cs="Arial"/>
      <w:szCs w:val="18"/>
    </w:rPr>
  </w:style>
  <w:style w:type="paragraph" w:customStyle="1" w:styleId="CopyrightText">
    <w:name w:val="Copyright Text"/>
    <w:basedOn w:val="BodyText"/>
    <w:rsid w:val="00116CA1"/>
    <w:rPr>
      <w:sz w:val="18"/>
    </w:rPr>
  </w:style>
  <w:style w:type="paragraph" w:customStyle="1" w:styleId="BodySmallRight">
    <w:name w:val="Body Small Right"/>
    <w:basedOn w:val="BodyTextRight"/>
    <w:rsid w:val="00116CA1"/>
    <w:rPr>
      <w:sz w:val="18"/>
      <w:szCs w:val="18"/>
    </w:rPr>
  </w:style>
  <w:style w:type="paragraph" w:customStyle="1" w:styleId="MarginEdition">
    <w:name w:val="Margin Edition"/>
    <w:basedOn w:val="MarginNote"/>
    <w:rsid w:val="00116CA1"/>
    <w:pPr>
      <w:spacing w:before="0" w:after="0"/>
    </w:pPr>
    <w:rPr>
      <w:rFonts w:ascii="Times New Roman" w:hAnsi="Times New Roman"/>
      <w:color w:val="999999"/>
    </w:rPr>
  </w:style>
  <w:style w:type="paragraph" w:customStyle="1" w:styleId="Spacer">
    <w:name w:val="Spacer"/>
    <w:basedOn w:val="Normal"/>
    <w:rsid w:val="00116CA1"/>
    <w:rPr>
      <w:sz w:val="2"/>
      <w:szCs w:val="2"/>
    </w:rPr>
  </w:style>
  <w:style w:type="character" w:customStyle="1" w:styleId="Small">
    <w:name w:val="Small"/>
    <w:basedOn w:val="DefaultParagraphFont"/>
    <w:rsid w:val="00116CA1"/>
    <w:rPr>
      <w:sz w:val="16"/>
    </w:rPr>
  </w:style>
  <w:style w:type="paragraph" w:customStyle="1" w:styleId="WideTable">
    <w:name w:val="Wide Table"/>
    <w:basedOn w:val="Normal"/>
    <w:rsid w:val="00116CA1"/>
    <w:pPr>
      <w:ind w:left="-1418"/>
    </w:pPr>
    <w:rPr>
      <w:sz w:val="2"/>
      <w:szCs w:val="2"/>
    </w:rPr>
  </w:style>
  <w:style w:type="character" w:styleId="PageNumber">
    <w:name w:val="page number"/>
    <w:basedOn w:val="DefaultParagraphFont"/>
    <w:rsid w:val="00116CA1"/>
  </w:style>
  <w:style w:type="paragraph" w:styleId="Quote">
    <w:name w:val="Quote"/>
    <w:basedOn w:val="Heading1"/>
    <w:link w:val="QuoteChar"/>
    <w:qFormat/>
    <w:rsid w:val="00116CA1"/>
    <w:rPr>
      <w:b w:val="0"/>
      <w:sz w:val="72"/>
      <w:szCs w:val="72"/>
      <w:lang w:val="en-NZ"/>
    </w:rPr>
  </w:style>
  <w:style w:type="character" w:customStyle="1" w:styleId="QuoteChar">
    <w:name w:val="Quote Char"/>
    <w:basedOn w:val="DefaultParagraphFont"/>
    <w:link w:val="Quote"/>
    <w:rsid w:val="00116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CA1"/>
    <w:pPr>
      <w:pageBreakBefore/>
    </w:pPr>
  </w:style>
  <w:style w:type="paragraph" w:customStyle="1" w:styleId="Border">
    <w:name w:val="Border"/>
    <w:basedOn w:val="Normal"/>
    <w:qFormat/>
    <w:rsid w:val="00116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CA1"/>
    <w:rPr>
      <w:b/>
      <w:bCs/>
      <w:i/>
      <w:iCs/>
      <w:color w:val="auto"/>
    </w:rPr>
  </w:style>
  <w:style w:type="paragraph" w:styleId="IntenseQuote">
    <w:name w:val="Intense Quote"/>
    <w:basedOn w:val="Normal"/>
    <w:next w:val="Normal"/>
    <w:link w:val="IntenseQuoteChar"/>
    <w:uiPriority w:val="30"/>
    <w:qFormat/>
    <w:rsid w:val="00116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C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CA1"/>
    <w:rPr>
      <w:smallCaps/>
      <w:color w:val="auto"/>
      <w:u w:val="single"/>
    </w:rPr>
  </w:style>
  <w:style w:type="character" w:styleId="IntenseReference">
    <w:name w:val="Intense Reference"/>
    <w:basedOn w:val="DefaultParagraphFont"/>
    <w:uiPriority w:val="32"/>
    <w:qFormat/>
    <w:rsid w:val="00116CA1"/>
    <w:rPr>
      <w:b/>
      <w:bCs/>
      <w:smallCaps/>
      <w:color w:val="auto"/>
      <w:spacing w:val="5"/>
      <w:u w:val="single"/>
    </w:rPr>
  </w:style>
  <w:style w:type="paragraph" w:customStyle="1" w:styleId="2ColumnHeading">
    <w:name w:val="2Column Heading"/>
    <w:basedOn w:val="BodyText"/>
    <w:qFormat/>
    <w:rsid w:val="00116CA1"/>
    <w:pPr>
      <w:spacing w:after="60"/>
      <w:ind w:left="-2268"/>
    </w:pPr>
    <w:rPr>
      <w:b/>
    </w:rPr>
  </w:style>
  <w:style w:type="paragraph" w:customStyle="1" w:styleId="Heading1TOC">
    <w:name w:val="Heading1 TOC"/>
    <w:basedOn w:val="Normal"/>
    <w:qFormat/>
    <w:rsid w:val="00116CA1"/>
    <w:pPr>
      <w:spacing w:before="240" w:after="120"/>
    </w:pPr>
    <w:rPr>
      <w:rFonts w:ascii="Times New Roman" w:hAnsi="Times New Roman"/>
      <w:b/>
      <w:sz w:val="32"/>
    </w:rPr>
  </w:style>
  <w:style w:type="paragraph" w:customStyle="1" w:styleId="Heading2TOC">
    <w:name w:val="Heading2 TOC"/>
    <w:basedOn w:val="Normal"/>
    <w:qFormat/>
    <w:rsid w:val="00116CA1"/>
    <w:pPr>
      <w:spacing w:before="240" w:after="60"/>
    </w:pPr>
    <w:rPr>
      <w:rFonts w:ascii="Times New Roman" w:hAnsi="Times New Roman"/>
      <w:b/>
      <w:sz w:val="28"/>
    </w:rPr>
  </w:style>
  <w:style w:type="character" w:customStyle="1" w:styleId="Underline">
    <w:name w:val="Underline"/>
    <w:basedOn w:val="DefaultParagraphFont"/>
    <w:qFormat/>
    <w:rsid w:val="00116CA1"/>
    <w:rPr>
      <w:u w:val="single"/>
    </w:rPr>
  </w:style>
  <w:style w:type="character" w:customStyle="1" w:styleId="BoldandItalics">
    <w:name w:val="Bold and Italics"/>
    <w:qFormat/>
    <w:rsid w:val="00116CA1"/>
    <w:rPr>
      <w:b/>
      <w:i/>
      <w:u w:val="none"/>
    </w:rPr>
  </w:style>
  <w:style w:type="paragraph" w:styleId="BalloonText">
    <w:name w:val="Balloon Text"/>
    <w:basedOn w:val="Normal"/>
    <w:link w:val="BalloonTextChar"/>
    <w:rsid w:val="00116CA1"/>
    <w:rPr>
      <w:rFonts w:ascii="Tahoma" w:hAnsi="Tahoma" w:cs="Tahoma"/>
      <w:sz w:val="16"/>
      <w:szCs w:val="16"/>
    </w:rPr>
  </w:style>
  <w:style w:type="character" w:customStyle="1" w:styleId="BalloonTextChar">
    <w:name w:val="Balloon Text Char"/>
    <w:basedOn w:val="DefaultParagraphFont"/>
    <w:link w:val="BalloonText"/>
    <w:rsid w:val="00116C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C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C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CA1"/>
    <w:rPr>
      <w:b/>
      <w:color w:val="660033"/>
      <w:spacing w:val="0"/>
    </w:rPr>
  </w:style>
  <w:style w:type="paragraph" w:customStyle="1" w:styleId="Nameditemlist">
    <w:name w:val="Named item list"/>
    <w:basedOn w:val="BodyText"/>
    <w:qFormat/>
    <w:rsid w:val="00116CA1"/>
    <w:pPr>
      <w:tabs>
        <w:tab w:val="left" w:pos="2835"/>
      </w:tabs>
      <w:ind w:left="2835" w:hanging="2835"/>
    </w:pPr>
  </w:style>
  <w:style w:type="paragraph" w:customStyle="1" w:styleId="BodyTextnopadding">
    <w:name w:val="Body Text no padding"/>
    <w:basedOn w:val="BodyText"/>
    <w:qFormat/>
    <w:rsid w:val="00116CA1"/>
    <w:pPr>
      <w:spacing w:before="0" w:after="0"/>
    </w:pPr>
  </w:style>
  <w:style w:type="paragraph" w:customStyle="1" w:styleId="BodyTextBold">
    <w:name w:val="Body Text Bold"/>
    <w:basedOn w:val="BodyText"/>
    <w:qFormat/>
    <w:rsid w:val="00116CA1"/>
    <w:rPr>
      <w:b/>
    </w:rPr>
  </w:style>
  <w:style w:type="character" w:styleId="Hyperlink">
    <w:name w:val="Hyperlink"/>
    <w:basedOn w:val="DefaultParagraphFont"/>
    <w:uiPriority w:val="99"/>
    <w:unhideWhenUsed/>
    <w:rsid w:val="00E675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5488</Characters>
  <Application>Microsoft Office Word</Application>
  <DocSecurity>0</DocSecurity>
  <Lines>249</Lines>
  <Paragraphs>151</Paragraphs>
  <ScaleCrop>false</ScaleCrop>
  <Company>Author-it Software Corporation Ltd.</Company>
  <LinksUpToDate>false</LinksUpToDate>
  <CharactersWithSpaces>6214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MSFPT3016 Provide advice to customers on piano tuning and repair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2022-06-03T07:38:00Z</dcterms:created>
  <dcterms:modified xsi:type="dcterms:W3CDTF">2022-06-03T07:38:00Z</dcterms:modified>
</cp:coreProperties>
</file>