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9F6" w:rsidP="008E7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MSFPF3016 Assemble complex artwork packages</w:t>
      </w:r>
      <w:r>
        <w:fldChar w:fldCharType="end"/>
      </w:r>
    </w:p>
    <w:p w:rsidR="008E79F6" w:rsidP="008E79F6">
      <w:pPr>
        <w:pStyle w:val="Version"/>
        <w:sectPr w:rsidSect="00092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DDF" w:rsidP="00092DDF">
      <w:pPr>
        <w:pStyle w:val="SuperHeading"/>
      </w:pPr>
      <w:r w:rsidRPr="00092DDF">
        <w:t>Assessment Requirements for MSFPF3016 Assemble complex artwork packages</w:t>
      </w:r>
    </w:p>
    <w:p w:rsidR="00000000" w:rsidRPr="00092DDF" w:rsidP="00092DDF">
      <w:pPr>
        <w:pStyle w:val="Heading1"/>
      </w:pPr>
      <w:bookmarkStart w:id="1" w:name="O_1010077"/>
      <w:bookmarkEnd w:id="1"/>
      <w:r w:rsidRPr="00092DDF">
        <w:t>Modification History</w:t>
      </w:r>
    </w:p>
    <w:p w:rsidR="008E79F6" w:rsidP="008E79F6">
      <w:pPr>
        <w:pStyle w:val="BodyText"/>
      </w:pPr>
      <w:r w:rsidRPr="00092DDF">
        <w:t xml:space="preserve">Release 1. Supersedes and is equivalent to MSFPF3008 Assemble a complex artwork package. </w:t>
      </w:r>
    </w:p>
    <w:p w:rsidR="00000000" w:rsidRPr="00092DDF" w:rsidP="00092DDF">
      <w:pPr>
        <w:pStyle w:val="Heading1"/>
      </w:pPr>
      <w:bookmarkStart w:id="2" w:name="O_1010078"/>
      <w:bookmarkEnd w:id="2"/>
      <w:r w:rsidRPr="00092DDF">
        <w:t>Performance Evidence</w:t>
      </w:r>
    </w:p>
    <w:p w:rsidR="00000000" w:rsidRPr="00092DDF" w:rsidP="008E79F6">
      <w:pPr>
        <w:pStyle w:val="BodyText"/>
      </w:pPr>
      <w:r w:rsidRPr="00092DDF">
        <w:t>There must be evidence the candidate has completed the tasks outlined in the elements and performance criteria of this unit, and:</w:t>
      </w:r>
    </w:p>
    <w:p w:rsidR="00000000" w:rsidRPr="00092DDF" w:rsidP="00092DDF">
      <w:pPr>
        <w:pStyle w:val="ListBullet"/>
      </w:pPr>
      <w:r w:rsidRPr="00092DDF">
        <w:t>assembled each of the following to the required job specification:</w:t>
      </w:r>
    </w:p>
    <w:p w:rsidR="00000000" w:rsidRPr="00092DDF" w:rsidP="00092DDF">
      <w:pPr>
        <w:pStyle w:val="ListBullet2"/>
      </w:pPr>
      <w:r w:rsidRPr="00092DDF">
        <w:t>a matted artwork with fillet</w:t>
      </w:r>
    </w:p>
    <w:p w:rsidR="00000000" w:rsidRPr="00092DDF" w:rsidP="00092DDF">
      <w:pPr>
        <w:pStyle w:val="ListBullet2"/>
      </w:pPr>
      <w:r w:rsidRPr="00092DDF">
        <w:t>a multi-frame item of artwor</w:t>
      </w:r>
      <w:r w:rsidRPr="00092DDF">
        <w:t>k</w:t>
      </w:r>
    </w:p>
    <w:p w:rsidR="00000000" w:rsidRPr="00092DDF" w:rsidP="00092DDF">
      <w:pPr>
        <w:pStyle w:val="ListBullet2"/>
      </w:pPr>
      <w:r w:rsidRPr="00092DDF">
        <w:t xml:space="preserve">a memorabilia box frame at least 50 mm deep </w:t>
      </w:r>
    </w:p>
    <w:p w:rsidR="00000000" w:rsidRPr="00092DDF" w:rsidP="00092DDF">
      <w:pPr>
        <w:pStyle w:val="ListBullet2"/>
      </w:pPr>
      <w:r w:rsidRPr="00092DDF">
        <w:t>a textile</w:t>
      </w:r>
    </w:p>
    <w:p w:rsidR="008E79F6" w:rsidP="00092DDF">
      <w:pPr>
        <w:pStyle w:val="ListBullet2"/>
      </w:pPr>
      <w:r w:rsidRPr="00092DDF">
        <w:t>a full conservation framed artwork.</w:t>
      </w:r>
    </w:p>
    <w:p w:rsidR="008E79F6" w:rsidP="00092DDF">
      <w:pPr>
        <w:pStyle w:val="ListBullet2"/>
      </w:pPr>
    </w:p>
    <w:p w:rsidR="00000000" w:rsidRPr="00092DDF" w:rsidP="00092DDF">
      <w:pPr>
        <w:pStyle w:val="Heading1"/>
      </w:pPr>
      <w:bookmarkStart w:id="3" w:name="O_1010079"/>
      <w:bookmarkEnd w:id="3"/>
      <w:r w:rsidRPr="00092DDF">
        <w:t>Knowledge Evidence</w:t>
      </w:r>
    </w:p>
    <w:p w:rsidR="00000000" w:rsidRPr="00092DDF" w:rsidP="00092DDF">
      <w:pPr>
        <w:pStyle w:val="ListBullet"/>
      </w:pPr>
      <w:r w:rsidRPr="00092DDF">
        <w:t>There must be evidence the candidate has knowledge of:</w:t>
      </w:r>
    </w:p>
    <w:p w:rsidR="00000000" w:rsidRPr="00092DDF" w:rsidP="00092DDF">
      <w:pPr>
        <w:pStyle w:val="ListBullet"/>
      </w:pPr>
      <w:r w:rsidRPr="00092DDF">
        <w:t>work flow process for assembly of complex artwork packages</w:t>
      </w:r>
    </w:p>
    <w:p w:rsidR="00000000" w:rsidRPr="00092DDF" w:rsidP="00092DDF">
      <w:pPr>
        <w:pStyle w:val="ListBullet"/>
      </w:pPr>
      <w:r w:rsidRPr="00092DDF">
        <w:t>features and functions of the components of complex artwork packages and how they are assembled:</w:t>
      </w:r>
    </w:p>
    <w:p w:rsidR="00000000" w:rsidRPr="00092DDF" w:rsidP="00092DDF">
      <w:pPr>
        <w:pStyle w:val="ListBullet2"/>
      </w:pPr>
      <w:r w:rsidRPr="00092DDF">
        <w:t>artwork</w:t>
      </w:r>
    </w:p>
    <w:p w:rsidR="00000000" w:rsidRPr="00092DDF" w:rsidP="00092DDF">
      <w:pPr>
        <w:pStyle w:val="ListBullet2"/>
      </w:pPr>
      <w:r w:rsidRPr="00092DDF">
        <w:t>backing</w:t>
      </w:r>
    </w:p>
    <w:p w:rsidR="00000000" w:rsidRPr="00092DDF" w:rsidP="00092DDF">
      <w:pPr>
        <w:pStyle w:val="ListBullet2"/>
      </w:pPr>
      <w:r w:rsidRPr="00092DDF">
        <w:t>fittings and attachments (including hanging attachments)</w:t>
      </w:r>
    </w:p>
    <w:p w:rsidR="00000000" w:rsidRPr="00092DDF" w:rsidP="00092DDF">
      <w:pPr>
        <w:pStyle w:val="ListBullet2"/>
      </w:pPr>
      <w:r w:rsidRPr="00092DDF">
        <w:t xml:space="preserve">frame </w:t>
      </w:r>
    </w:p>
    <w:p w:rsidR="00000000" w:rsidRPr="00092DDF" w:rsidP="00092DDF">
      <w:pPr>
        <w:pStyle w:val="ListBullet2"/>
      </w:pPr>
      <w:r w:rsidRPr="00092DDF">
        <w:t xml:space="preserve">glass and/or acrylic </w:t>
      </w:r>
    </w:p>
    <w:p w:rsidR="00000000" w:rsidRPr="00092DDF" w:rsidP="00092DDF">
      <w:pPr>
        <w:pStyle w:val="ListBullet2"/>
      </w:pPr>
      <w:r w:rsidRPr="00092DDF">
        <w:t xml:space="preserve">mat board </w:t>
      </w:r>
    </w:p>
    <w:p w:rsidR="00000000" w:rsidRPr="00092DDF" w:rsidP="00092DDF">
      <w:pPr>
        <w:pStyle w:val="ListBullet2"/>
      </w:pPr>
      <w:r w:rsidRPr="00092DDF">
        <w:t xml:space="preserve">mount </w:t>
      </w:r>
    </w:p>
    <w:p w:rsidR="00000000" w:rsidRPr="00092DDF" w:rsidP="00092DDF">
      <w:pPr>
        <w:pStyle w:val="ListBullet"/>
      </w:pPr>
      <w:r w:rsidRPr="00092DDF">
        <w:t>functions, features and safe use of t</w:t>
      </w:r>
      <w:r w:rsidRPr="00092DDF">
        <w:t>ools and equipment used to assemble artwork packages:</w:t>
      </w:r>
    </w:p>
    <w:p w:rsidR="00000000" w:rsidRPr="00092DDF" w:rsidP="00092DDF">
      <w:pPr>
        <w:pStyle w:val="ListBullet2"/>
      </w:pPr>
      <w:r w:rsidRPr="00092DDF">
        <w:t xml:space="preserve">clamps </w:t>
      </w:r>
    </w:p>
    <w:p w:rsidR="00000000" w:rsidRPr="00092DDF" w:rsidP="00092DDF">
      <w:pPr>
        <w:pStyle w:val="ListBullet2"/>
      </w:pPr>
      <w:r w:rsidRPr="00092DDF">
        <w:t xml:space="preserve">cutting blades </w:t>
      </w:r>
    </w:p>
    <w:p w:rsidR="00000000" w:rsidRPr="00092DDF" w:rsidP="00092DDF">
      <w:pPr>
        <w:pStyle w:val="ListBullet2"/>
      </w:pPr>
      <w:r w:rsidRPr="00092DDF">
        <w:t>drills</w:t>
      </w:r>
    </w:p>
    <w:p w:rsidR="00000000" w:rsidRPr="00092DDF" w:rsidP="00092DDF">
      <w:pPr>
        <w:pStyle w:val="ListBullet2"/>
      </w:pPr>
      <w:r w:rsidRPr="00092DDF">
        <w:t>flexi-point gun</w:t>
      </w:r>
    </w:p>
    <w:p w:rsidR="00000000" w:rsidRPr="00092DDF" w:rsidP="00092DDF">
      <w:pPr>
        <w:pStyle w:val="ListBullet2"/>
      </w:pPr>
      <w:r w:rsidRPr="00092DDF">
        <w:t xml:space="preserve">hammers </w:t>
      </w:r>
    </w:p>
    <w:p w:rsidR="00000000" w:rsidRPr="00092DDF" w:rsidP="00092DDF">
      <w:pPr>
        <w:pStyle w:val="ListBullet2"/>
      </w:pPr>
      <w:r w:rsidRPr="00092DDF">
        <w:t>marking out tools</w:t>
      </w:r>
    </w:p>
    <w:p w:rsidR="00000000" w:rsidRPr="00092DDF" w:rsidP="00092DDF">
      <w:pPr>
        <w:pStyle w:val="ListBullet2"/>
      </w:pPr>
      <w:r w:rsidRPr="00092DDF">
        <w:t xml:space="preserve">screwdrivers </w:t>
      </w:r>
    </w:p>
    <w:p w:rsidR="00000000" w:rsidRPr="00092DDF" w:rsidP="00092DDF">
      <w:pPr>
        <w:pStyle w:val="ListBullet2"/>
      </w:pPr>
      <w:r w:rsidRPr="00092DDF">
        <w:t>staplers</w:t>
      </w:r>
    </w:p>
    <w:p w:rsidR="00000000" w:rsidRPr="00092DDF" w:rsidP="00092DDF">
      <w:pPr>
        <w:pStyle w:val="ListBullet2"/>
      </w:pPr>
      <w:r w:rsidRPr="00092DDF">
        <w:t>tacker</w:t>
      </w:r>
    </w:p>
    <w:p w:rsidR="00000000" w:rsidRPr="00092DDF" w:rsidP="00092DDF">
      <w:pPr>
        <w:pStyle w:val="ListBullet"/>
      </w:pPr>
      <w:r w:rsidRPr="00092DDF">
        <w:t xml:space="preserve">materials, and how they are used to assemble artwork packages: </w:t>
      </w:r>
    </w:p>
    <w:p w:rsidR="00000000" w:rsidRPr="00092DDF" w:rsidP="00092DDF">
      <w:pPr>
        <w:pStyle w:val="ListBullet2"/>
      </w:pPr>
      <w:r w:rsidRPr="00092DDF">
        <w:t>adhesives</w:t>
      </w:r>
    </w:p>
    <w:p w:rsidR="00000000" w:rsidRPr="00092DDF" w:rsidP="00092DDF">
      <w:pPr>
        <w:pStyle w:val="ListBullet2"/>
      </w:pPr>
      <w:r w:rsidRPr="00092DDF">
        <w:t>cardboard</w:t>
      </w:r>
    </w:p>
    <w:p w:rsidR="00000000" w:rsidRPr="00092DDF" w:rsidP="00092DDF">
      <w:pPr>
        <w:pStyle w:val="ListBullet2"/>
      </w:pPr>
      <w:r w:rsidRPr="00092DDF">
        <w:t>cleaning agents</w:t>
      </w:r>
    </w:p>
    <w:p w:rsidR="00000000" w:rsidRPr="00092DDF" w:rsidP="00092DDF">
      <w:pPr>
        <w:pStyle w:val="ListBullet2"/>
      </w:pPr>
      <w:r w:rsidRPr="00092DDF">
        <w:t>composites</w:t>
      </w:r>
    </w:p>
    <w:p w:rsidR="00000000" w:rsidRPr="00092DDF" w:rsidP="00092DDF">
      <w:pPr>
        <w:pStyle w:val="ListBullet2"/>
      </w:pPr>
      <w:r w:rsidRPr="00092DDF">
        <w:t>laminates</w:t>
      </w:r>
    </w:p>
    <w:p w:rsidR="00000000" w:rsidRPr="00092DDF" w:rsidP="00092DDF">
      <w:pPr>
        <w:pStyle w:val="ListBullet2"/>
      </w:pPr>
      <w:r w:rsidRPr="00092DDF">
        <w:t>metal/alloy</w:t>
      </w:r>
    </w:p>
    <w:p w:rsidR="00000000" w:rsidRPr="00092DDF" w:rsidP="00092DDF">
      <w:pPr>
        <w:pStyle w:val="ListBullet2"/>
      </w:pPr>
      <w:r w:rsidRPr="00092DDF">
        <w:t>nails</w:t>
      </w:r>
    </w:p>
    <w:p w:rsidR="00000000" w:rsidRPr="00092DDF" w:rsidP="00092DDF">
      <w:pPr>
        <w:pStyle w:val="ListBullet2"/>
      </w:pPr>
      <w:r w:rsidRPr="00092DDF">
        <w:t>paper</w:t>
      </w:r>
    </w:p>
    <w:p w:rsidR="00000000" w:rsidRPr="00092DDF" w:rsidP="00092DDF">
      <w:pPr>
        <w:pStyle w:val="ListBullet2"/>
      </w:pPr>
      <w:r w:rsidRPr="00092DDF">
        <w:t xml:space="preserve">tacks </w:t>
      </w:r>
    </w:p>
    <w:p w:rsidR="00000000" w:rsidRPr="00092DDF" w:rsidP="00092DDF">
      <w:pPr>
        <w:pStyle w:val="ListBullet2"/>
      </w:pPr>
      <w:r w:rsidRPr="00092DDF">
        <w:t>tapes</w:t>
      </w:r>
    </w:p>
    <w:p w:rsidR="00000000" w:rsidRPr="00092DDF" w:rsidP="00092DDF">
      <w:pPr>
        <w:pStyle w:val="ListBullet2"/>
      </w:pPr>
      <w:r w:rsidRPr="00092DDF">
        <w:t>timber</w:t>
      </w:r>
    </w:p>
    <w:p w:rsidR="00000000" w:rsidRPr="00092DDF" w:rsidP="00092DDF">
      <w:pPr>
        <w:pStyle w:val="ListBullet"/>
      </w:pPr>
      <w:r w:rsidRPr="00092DDF">
        <w:t>techniques for assembling artwork packages, the types of problems that can occur and how to respond</w:t>
      </w:r>
    </w:p>
    <w:p w:rsidR="00000000" w:rsidRPr="00092DDF" w:rsidP="00092DDF">
      <w:pPr>
        <w:pStyle w:val="ListBullet2"/>
      </w:pPr>
      <w:r w:rsidRPr="00092DDF">
        <w:t>scope of liabilities and obligations relating to framing artwork</w:t>
      </w:r>
    </w:p>
    <w:p w:rsidR="00000000" w:rsidRPr="00092DDF" w:rsidP="00092DDF">
      <w:pPr>
        <w:pStyle w:val="ListBullet2"/>
      </w:pPr>
      <w:r w:rsidRPr="00092DDF">
        <w:t xml:space="preserve">conservation techniques for artwork and frames </w:t>
      </w:r>
    </w:p>
    <w:p w:rsidR="008E79F6" w:rsidP="00092DDF">
      <w:pPr>
        <w:pStyle w:val="ListBullet2"/>
      </w:pPr>
      <w:r w:rsidRPr="00092DDF">
        <w:t>potential impacts of the assembly process on the artwork and techniques to avoid damage.</w:t>
      </w:r>
    </w:p>
    <w:p w:rsidR="008E79F6" w:rsidP="00092DDF">
      <w:pPr>
        <w:pStyle w:val="ListBullet2"/>
      </w:pPr>
    </w:p>
    <w:p w:rsidR="00000000" w:rsidRPr="00092DDF" w:rsidP="00092DDF">
      <w:pPr>
        <w:pStyle w:val="Heading1"/>
      </w:pPr>
      <w:bookmarkStart w:id="4" w:name="O_1010080"/>
      <w:bookmarkEnd w:id="4"/>
      <w:r w:rsidRPr="00092DDF">
        <w:t>Assessment Conditions</w:t>
      </w:r>
    </w:p>
    <w:p w:rsidR="00000000" w:rsidRPr="00092DDF" w:rsidP="008E79F6">
      <w:pPr>
        <w:pStyle w:val="BodyText"/>
      </w:pPr>
      <w:r w:rsidRPr="00092DDF">
        <w:t>Skills must have been demonstrated in the workplace or in a simulated environ</w:t>
      </w:r>
      <w:r w:rsidRPr="00092DDF">
        <w:t xml:space="preserve">ment that reflects workplace conditions and contingencies. The following conditions must be met for this unit: </w:t>
      </w:r>
    </w:p>
    <w:p w:rsidR="00000000" w:rsidRPr="00092DDF" w:rsidP="00092DDF">
      <w:pPr>
        <w:pStyle w:val="ListBullet"/>
      </w:pPr>
      <w:r w:rsidRPr="00092DDF">
        <w:t xml:space="preserve">use of suitable facilities, equipment and resources, including: </w:t>
      </w:r>
    </w:p>
    <w:p w:rsidR="00000000" w:rsidRPr="00092DDF" w:rsidP="00092DDF">
      <w:pPr>
        <w:pStyle w:val="ListBullet2"/>
      </w:pPr>
      <w:r w:rsidRPr="00092DDF">
        <w:t>workspace equipped with:</w:t>
      </w:r>
    </w:p>
    <w:p w:rsidR="00000000" w:rsidRPr="00092DDF" w:rsidP="00092DDF">
      <w:pPr>
        <w:pStyle w:val="ListBullet3"/>
      </w:pPr>
      <w:r w:rsidRPr="00092DDF">
        <w:t>assembly tools, equipment and consumables to complete tasks in the Performance Evidence</w:t>
      </w:r>
    </w:p>
    <w:p w:rsidR="00000000" w:rsidRPr="00092DDF" w:rsidP="00092DDF">
      <w:pPr>
        <w:pStyle w:val="ListBullet3"/>
      </w:pPr>
      <w:r w:rsidRPr="00092DDF">
        <w:t>personal protective equipment</w:t>
      </w:r>
    </w:p>
    <w:p w:rsidR="00000000" w:rsidRPr="00092DDF" w:rsidP="00092DDF">
      <w:pPr>
        <w:pStyle w:val="ListBullet2"/>
      </w:pPr>
      <w:r w:rsidRPr="00092DDF">
        <w:t>work orders</w:t>
      </w:r>
    </w:p>
    <w:p w:rsidR="00000000" w:rsidRPr="00092DDF" w:rsidP="00092DDF">
      <w:pPr>
        <w:pStyle w:val="ListBullet2"/>
      </w:pPr>
      <w:r w:rsidRPr="00092DDF">
        <w:t>components of artwork packages for assembly.</w:t>
      </w:r>
    </w:p>
    <w:p w:rsidR="008E79F6" w:rsidP="008E79F6">
      <w:pPr>
        <w:pStyle w:val="BodyText"/>
      </w:pPr>
      <w:r w:rsidRPr="00092DDF">
        <w:t>Assessors must satisfy the NVR/AQTF mandatory competency requirements for assess</w:t>
      </w:r>
      <w:r w:rsidRPr="00092DDF">
        <w:t>ors.</w:t>
      </w:r>
    </w:p>
    <w:p w:rsidR="00000000" w:rsidRPr="00092DDF" w:rsidP="00092DDF">
      <w:pPr>
        <w:pStyle w:val="Heading1"/>
      </w:pPr>
      <w:bookmarkStart w:id="5" w:name="O_1010083"/>
      <w:bookmarkEnd w:id="5"/>
      <w:r w:rsidRPr="00092DDF">
        <w:t>Links</w:t>
      </w:r>
    </w:p>
    <w:p w:rsidR="00000000" w:rsidRPr="00092DDF" w:rsidP="008E79F6">
      <w:pPr>
        <w:pStyle w:val="BodyText"/>
      </w:pPr>
      <w:r w:rsidRPr="00092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443B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92DDF" w:rsidP="00092DDF"/>
    <w:sectPr w:rsidSect="00092D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DF" w:rsidRPr="008E79F6" w:rsidP="008E7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6" w:rsidP="00092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9F6" w:rsidP="00092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E79F6" w:rsidP="00092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DDF" w:rsidRPr="008E79F6" w:rsidP="008E7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9F6" w:rsidRPr="002D2AF8" w:rsidP="00092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MSFPF3016 Assemble complex artwork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8E79F6" w:rsidP="00092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5429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F6F2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98F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DDF"/>
  </w:style>
  <w:style w:type="character" w:customStyle="1" w:styleId="Heading1Char">
    <w:name w:val="Heading 1 Char"/>
    <w:basedOn w:val="DefaultParagraphFont"/>
    <w:link w:val="Heading1"/>
    <w:rsid w:val="00092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DD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2D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2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92D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92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2DDF"/>
    <w:rPr>
      <w:b/>
      <w:spacing w:val="0"/>
    </w:rPr>
  </w:style>
  <w:style w:type="paragraph" w:customStyle="1" w:styleId="SuperTitle">
    <w:name w:val="SuperTitle"/>
    <w:basedOn w:val="Title"/>
    <w:rsid w:val="00092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2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D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2DDF"/>
    <w:rPr>
      <w:i/>
    </w:rPr>
  </w:style>
  <w:style w:type="paragraph" w:styleId="Caption">
    <w:name w:val="caption"/>
    <w:basedOn w:val="BodyText"/>
    <w:next w:val="Normal"/>
    <w:qFormat/>
    <w:rsid w:val="00092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DDF"/>
  </w:style>
  <w:style w:type="paragraph" w:styleId="TableofFigures">
    <w:name w:val="table of figures"/>
    <w:basedOn w:val="Normal"/>
    <w:next w:val="Normal"/>
    <w:semiHidden/>
    <w:rsid w:val="00092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D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92DDF"/>
    <w:rPr>
      <w:rFonts w:ascii="Wingdings" w:hAnsi="Wingdings"/>
    </w:rPr>
  </w:style>
  <w:style w:type="paragraph" w:customStyle="1" w:styleId="TableHeading">
    <w:name w:val="Table Heading"/>
    <w:basedOn w:val="HeadingBase"/>
    <w:rsid w:val="00092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DDF"/>
    <w:rPr>
      <w:color w:val="0033CC"/>
      <w:u w:val="none"/>
    </w:rPr>
  </w:style>
  <w:style w:type="paragraph" w:customStyle="1" w:styleId="BodyTextRight">
    <w:name w:val="Body Text Right"/>
    <w:basedOn w:val="BodyText"/>
    <w:rsid w:val="00092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D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DDF"/>
    <w:rPr>
      <w:sz w:val="32"/>
    </w:rPr>
  </w:style>
  <w:style w:type="paragraph" w:customStyle="1" w:styleId="HeadingProcedure">
    <w:name w:val="Heading Procedure"/>
    <w:basedOn w:val="HeadingBase"/>
    <w:next w:val="Normal"/>
    <w:rsid w:val="00092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DDF"/>
    <w:pPr>
      <w:spacing w:before="60" w:after="60"/>
    </w:pPr>
  </w:style>
  <w:style w:type="paragraph" w:styleId="ListContinue">
    <w:name w:val="List Continue"/>
    <w:basedOn w:val="List"/>
    <w:rsid w:val="00092DDF"/>
    <w:pPr>
      <w:ind w:firstLine="0"/>
    </w:pPr>
  </w:style>
  <w:style w:type="paragraph" w:customStyle="1" w:styleId="ListNote">
    <w:name w:val="List Note"/>
    <w:basedOn w:val="List"/>
    <w:rsid w:val="00092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DDF"/>
    <w:rPr>
      <w:rFonts w:ascii="Courier New" w:hAnsi="Courier New"/>
    </w:rPr>
  </w:style>
  <w:style w:type="paragraph" w:customStyle="1" w:styleId="NoteBullet">
    <w:name w:val="Note Bullet"/>
    <w:basedOn w:val="Note"/>
    <w:rsid w:val="00092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D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92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DDF"/>
    <w:rPr>
      <w:b/>
      <w:smallCaps/>
    </w:rPr>
  </w:style>
  <w:style w:type="paragraph" w:customStyle="1" w:styleId="TableListNumber">
    <w:name w:val="Table List Number"/>
    <w:basedOn w:val="ListNumber"/>
    <w:rsid w:val="00092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DDF"/>
    <w:pPr>
      <w:numPr>
        <w:numId w:val="10"/>
      </w:numPr>
    </w:pPr>
  </w:style>
  <w:style w:type="paragraph" w:customStyle="1" w:styleId="ListAlpha2">
    <w:name w:val="List Alpha 2"/>
    <w:basedOn w:val="List2"/>
    <w:rsid w:val="00092DDF"/>
    <w:pPr>
      <w:numPr>
        <w:numId w:val="9"/>
      </w:numPr>
    </w:pPr>
  </w:style>
  <w:style w:type="paragraph" w:styleId="List2">
    <w:name w:val="List 2"/>
    <w:basedOn w:val="BodyText"/>
    <w:rsid w:val="00092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D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92D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92DDF"/>
    <w:pPr>
      <w:numPr>
        <w:numId w:val="5"/>
      </w:numPr>
    </w:pPr>
  </w:style>
  <w:style w:type="paragraph" w:styleId="ListContinue2">
    <w:name w:val="List Continue 2"/>
    <w:basedOn w:val="List2"/>
    <w:rsid w:val="00092DDF"/>
    <w:pPr>
      <w:ind w:firstLine="0"/>
    </w:pPr>
  </w:style>
  <w:style w:type="paragraph" w:styleId="ListContinue3">
    <w:name w:val="List Continue 3"/>
    <w:basedOn w:val="List3"/>
    <w:rsid w:val="00092DDF"/>
    <w:pPr>
      <w:ind w:left="1021" w:firstLine="0"/>
    </w:pPr>
  </w:style>
  <w:style w:type="paragraph" w:styleId="ListContinue4">
    <w:name w:val="List Continue 4"/>
    <w:basedOn w:val="List4"/>
    <w:rsid w:val="00092DDF"/>
    <w:pPr>
      <w:ind w:firstLine="0"/>
    </w:pPr>
  </w:style>
  <w:style w:type="paragraph" w:styleId="ListContinue5">
    <w:name w:val="List Continue 5"/>
    <w:basedOn w:val="List5"/>
    <w:rsid w:val="00092DDF"/>
    <w:pPr>
      <w:ind w:firstLine="0"/>
    </w:pPr>
  </w:style>
  <w:style w:type="paragraph" w:styleId="ListNumber3">
    <w:name w:val="List Number 3"/>
    <w:basedOn w:val="List3"/>
    <w:rsid w:val="00092DDF"/>
    <w:pPr>
      <w:numPr>
        <w:numId w:val="6"/>
      </w:numPr>
    </w:pPr>
  </w:style>
  <w:style w:type="paragraph" w:styleId="ListNumber4">
    <w:name w:val="List Number 4"/>
    <w:basedOn w:val="List4"/>
    <w:rsid w:val="00092DDF"/>
    <w:pPr>
      <w:numPr>
        <w:numId w:val="7"/>
      </w:numPr>
    </w:pPr>
  </w:style>
  <w:style w:type="paragraph" w:styleId="ListNumber5">
    <w:name w:val="List Number 5"/>
    <w:basedOn w:val="List5"/>
    <w:rsid w:val="00092DDF"/>
    <w:pPr>
      <w:numPr>
        <w:numId w:val="8"/>
      </w:numPr>
    </w:pPr>
  </w:style>
  <w:style w:type="paragraph" w:styleId="BlockText">
    <w:name w:val="Block Text"/>
    <w:basedOn w:val="Normal"/>
    <w:rsid w:val="00092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DDF"/>
    <w:rPr>
      <w:sz w:val="16"/>
      <w:vertAlign w:val="superscript"/>
    </w:rPr>
  </w:style>
  <w:style w:type="character" w:customStyle="1" w:styleId="Symbols">
    <w:name w:val="Symbols"/>
    <w:basedOn w:val="DefaultParagraphFont"/>
    <w:rsid w:val="00092DDF"/>
    <w:rPr>
      <w:rFonts w:ascii="Symbol" w:hAnsi="Symbol"/>
    </w:rPr>
  </w:style>
  <w:style w:type="character" w:customStyle="1" w:styleId="MenuOptions">
    <w:name w:val="Menu Options"/>
    <w:basedOn w:val="DefaultParagraphFont"/>
    <w:rsid w:val="00092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DDF"/>
    <w:rPr>
      <w:b/>
    </w:rPr>
  </w:style>
  <w:style w:type="character" w:customStyle="1" w:styleId="Underlined">
    <w:name w:val="Underlined"/>
    <w:basedOn w:val="DefaultParagraphFont"/>
    <w:rsid w:val="00092DDF"/>
    <w:rPr>
      <w:u w:val="single"/>
    </w:rPr>
  </w:style>
  <w:style w:type="paragraph" w:customStyle="1" w:styleId="TableBodyTextRight">
    <w:name w:val="Table Body Text Right"/>
    <w:basedOn w:val="TableBodyText"/>
    <w:rsid w:val="00092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DDF"/>
    <w:rPr>
      <w:sz w:val="18"/>
    </w:rPr>
  </w:style>
  <w:style w:type="paragraph" w:customStyle="1" w:styleId="BodySmallRight">
    <w:name w:val="Body Small Right"/>
    <w:basedOn w:val="BodyTextRight"/>
    <w:rsid w:val="00092DDF"/>
    <w:rPr>
      <w:sz w:val="18"/>
      <w:szCs w:val="18"/>
    </w:rPr>
  </w:style>
  <w:style w:type="paragraph" w:customStyle="1" w:styleId="MarginEdition">
    <w:name w:val="Margin Edition"/>
    <w:basedOn w:val="MarginNote"/>
    <w:rsid w:val="00092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DDF"/>
    <w:rPr>
      <w:sz w:val="2"/>
      <w:szCs w:val="2"/>
    </w:rPr>
  </w:style>
  <w:style w:type="character" w:customStyle="1" w:styleId="Small">
    <w:name w:val="Small"/>
    <w:basedOn w:val="DefaultParagraphFont"/>
    <w:rsid w:val="00092DDF"/>
    <w:rPr>
      <w:sz w:val="16"/>
    </w:rPr>
  </w:style>
  <w:style w:type="paragraph" w:customStyle="1" w:styleId="WideTable">
    <w:name w:val="Wide Table"/>
    <w:basedOn w:val="Normal"/>
    <w:rsid w:val="00092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DDF"/>
  </w:style>
  <w:style w:type="paragraph" w:styleId="Quote">
    <w:name w:val="Quote"/>
    <w:basedOn w:val="Heading1"/>
    <w:link w:val="QuoteChar"/>
    <w:qFormat/>
    <w:rsid w:val="00092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DDF"/>
    <w:pPr>
      <w:pageBreakBefore/>
    </w:pPr>
  </w:style>
  <w:style w:type="paragraph" w:customStyle="1" w:styleId="Border">
    <w:name w:val="Border"/>
    <w:basedOn w:val="Normal"/>
    <w:qFormat/>
    <w:rsid w:val="00092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DDF"/>
    <w:rPr>
      <w:u w:val="single"/>
    </w:rPr>
  </w:style>
  <w:style w:type="character" w:customStyle="1" w:styleId="BoldandItalics">
    <w:name w:val="Bold and Italics"/>
    <w:qFormat/>
    <w:rsid w:val="00092DDF"/>
    <w:rPr>
      <w:b/>
      <w:i/>
      <w:u w:val="none"/>
    </w:rPr>
  </w:style>
  <w:style w:type="paragraph" w:styleId="BalloonText">
    <w:name w:val="Balloon Text"/>
    <w:basedOn w:val="Normal"/>
    <w:link w:val="BalloonTextChar"/>
    <w:rsid w:val="00092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DDF"/>
    <w:pPr>
      <w:spacing w:before="0" w:after="0"/>
    </w:pPr>
  </w:style>
  <w:style w:type="paragraph" w:customStyle="1" w:styleId="BodyTextBold">
    <w:name w:val="Body Text Bold"/>
    <w:basedOn w:val="BodyText"/>
    <w:qFormat/>
    <w:rsid w:val="00092DDF"/>
    <w:rPr>
      <w:b/>
    </w:rPr>
  </w:style>
  <w:style w:type="character" w:styleId="Hyperlink">
    <w:name w:val="Hyperlink"/>
    <w:basedOn w:val="DefaultParagraphFont"/>
    <w:uiPriority w:val="99"/>
    <w:unhideWhenUsed/>
    <w:rsid w:val="008E7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339</Words>
  <Characters>2193</Characters>
  <Application>Microsoft Office Word</Application>
  <DocSecurity>0</DocSecurity>
  <Lines>84</Lines>
  <Paragraphs>74</Paragraphs>
  <ScaleCrop>false</ScaleCrop>
  <Company>Author-it Software Corporation Ltd.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MSFPF3016 Assemble complex artwork packages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2022-12-21T05:41:00Z</dcterms:created>
  <dcterms:modified xsi:type="dcterms:W3CDTF">2022-12-21T05:41:00Z</dcterms:modified>
</cp:coreProperties>
</file>