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4D2" w:rsidP="00103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MSFPF3014 Assess and prepare framing design requirements</w:t>
      </w:r>
      <w:r>
        <w:fldChar w:fldCharType="end"/>
      </w:r>
    </w:p>
    <w:p w:rsidR="001034D2" w:rsidP="001034D2">
      <w:pPr>
        <w:pStyle w:val="Version"/>
        <w:sectPr w:rsidSect="00277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DB7" w:rsidP="00277DB7">
      <w:pPr>
        <w:pStyle w:val="SuperHeading"/>
      </w:pPr>
      <w:r w:rsidRPr="00277DB7">
        <w:t>Assessment Requirements for MSFPF3014 Assess and prepare framing design requirements</w:t>
      </w:r>
    </w:p>
    <w:p w:rsidR="00000000" w:rsidRPr="00277DB7" w:rsidP="00277DB7">
      <w:pPr>
        <w:pStyle w:val="Heading1"/>
      </w:pPr>
      <w:bookmarkStart w:id="1" w:name="O_1010020"/>
      <w:bookmarkEnd w:id="1"/>
      <w:r w:rsidRPr="00277DB7">
        <w:t>Modification History</w:t>
      </w:r>
    </w:p>
    <w:p w:rsidR="001034D2" w:rsidP="001034D2">
      <w:pPr>
        <w:pStyle w:val="BodyText"/>
      </w:pPr>
      <w:r w:rsidRPr="00277DB7">
        <w:t xml:space="preserve">Release 1. Supersedes and is not equivalent to MSFPF3005 Recognise and handle artwork for framing, and, MSFPF3006 Prepare design requirements for framing. </w:t>
      </w:r>
    </w:p>
    <w:p w:rsidR="00000000" w:rsidRPr="00277DB7" w:rsidP="00277DB7">
      <w:pPr>
        <w:pStyle w:val="Heading1"/>
      </w:pPr>
      <w:bookmarkStart w:id="2" w:name="O_1010021"/>
      <w:bookmarkEnd w:id="2"/>
      <w:r w:rsidRPr="00277DB7">
        <w:t>Performance Evidence</w:t>
      </w:r>
    </w:p>
    <w:p w:rsidR="00000000" w:rsidRPr="00277DB7" w:rsidP="001034D2">
      <w:pPr>
        <w:pStyle w:val="BodyText"/>
      </w:pPr>
      <w:r w:rsidRPr="00277DB7">
        <w:t>There must be evidence the candidate has completed the task</w:t>
      </w:r>
      <w:r w:rsidRPr="00277DB7">
        <w:t>s outlined in the elements and performance criteria of this unit, and:</w:t>
      </w:r>
    </w:p>
    <w:p w:rsidR="00000000" w:rsidRPr="00277DB7" w:rsidP="00277DB7">
      <w:pPr>
        <w:pStyle w:val="ListBullet"/>
      </w:pPr>
      <w:r w:rsidRPr="00277DB7">
        <w:t>prepared design requirements, work orders and condition reports for framing designs for all of the following:</w:t>
      </w:r>
    </w:p>
    <w:p w:rsidR="00000000" w:rsidRPr="00277DB7" w:rsidP="00277DB7">
      <w:pPr>
        <w:pStyle w:val="ListBullet2"/>
      </w:pPr>
      <w:r w:rsidRPr="00277DB7">
        <w:t>an object</w:t>
      </w:r>
    </w:p>
    <w:p w:rsidR="00000000" w:rsidRPr="00277DB7" w:rsidP="00277DB7">
      <w:pPr>
        <w:pStyle w:val="ListBullet2"/>
      </w:pPr>
      <w:r w:rsidRPr="00277DB7">
        <w:t>a textile</w:t>
      </w:r>
    </w:p>
    <w:p w:rsidR="00000000" w:rsidRPr="00277DB7" w:rsidP="00277DB7">
      <w:pPr>
        <w:pStyle w:val="ListBullet2"/>
      </w:pPr>
      <w:r w:rsidRPr="00277DB7">
        <w:t xml:space="preserve">a work on paper </w:t>
      </w:r>
    </w:p>
    <w:p w:rsidR="00000000" w:rsidRPr="00277DB7" w:rsidP="00277DB7">
      <w:pPr>
        <w:pStyle w:val="ListBullet2"/>
      </w:pPr>
      <w:r w:rsidRPr="00277DB7">
        <w:t xml:space="preserve">a canvas </w:t>
      </w:r>
    </w:p>
    <w:p w:rsidR="001034D2" w:rsidP="00277DB7">
      <w:pPr>
        <w:pStyle w:val="ListBullet2"/>
      </w:pPr>
      <w:r w:rsidRPr="00277DB7">
        <w:t>an item that requires cons</w:t>
      </w:r>
      <w:r w:rsidRPr="00277DB7">
        <w:t>ervation framing.</w:t>
      </w:r>
    </w:p>
    <w:p w:rsidR="001034D2" w:rsidP="00277DB7">
      <w:pPr>
        <w:pStyle w:val="ListBullet2"/>
      </w:pPr>
    </w:p>
    <w:p w:rsidR="00000000" w:rsidRPr="00277DB7" w:rsidP="00277DB7">
      <w:pPr>
        <w:pStyle w:val="Heading1"/>
      </w:pPr>
      <w:bookmarkStart w:id="3" w:name="O_1010022"/>
      <w:bookmarkEnd w:id="3"/>
      <w:r w:rsidRPr="00277DB7">
        <w:t>Knowledge Evidence</w:t>
      </w:r>
    </w:p>
    <w:p w:rsidR="00000000" w:rsidRPr="00277DB7" w:rsidP="001034D2">
      <w:pPr>
        <w:pStyle w:val="BodyText"/>
      </w:pPr>
      <w:r w:rsidRPr="00277DB7">
        <w:t>There must be evidence the candidate has knowledge of:</w:t>
      </w:r>
    </w:p>
    <w:p w:rsidR="00000000" w:rsidRPr="00277DB7" w:rsidP="00277DB7">
      <w:pPr>
        <w:pStyle w:val="ListBullet"/>
      </w:pPr>
      <w:r w:rsidRPr="00277DB7">
        <w:t xml:space="preserve">major categories of art media and items typically presented for framing </w:t>
      </w:r>
    </w:p>
    <w:p w:rsidR="00000000" w:rsidRPr="00277DB7" w:rsidP="00277DB7">
      <w:pPr>
        <w:pStyle w:val="ListBullet"/>
      </w:pPr>
      <w:r w:rsidRPr="00277DB7">
        <w:t>current and emerging trends in framing design</w:t>
      </w:r>
    </w:p>
    <w:p w:rsidR="00000000" w:rsidRPr="00277DB7" w:rsidP="00277DB7">
      <w:pPr>
        <w:pStyle w:val="ListBullet"/>
      </w:pPr>
      <w:r w:rsidRPr="00277DB7">
        <w:t>influences on frame design:</w:t>
      </w:r>
    </w:p>
    <w:p w:rsidR="00000000" w:rsidRPr="00277DB7" w:rsidP="00277DB7">
      <w:pPr>
        <w:pStyle w:val="ListBullet2"/>
      </w:pPr>
      <w:r w:rsidRPr="00277DB7">
        <w:t xml:space="preserve">frame package design to suit required level of conservation </w:t>
      </w:r>
    </w:p>
    <w:p w:rsidR="00000000" w:rsidRPr="00277DB7" w:rsidP="00277DB7">
      <w:pPr>
        <w:pStyle w:val="ListBullet2"/>
      </w:pPr>
      <w:r w:rsidRPr="00277DB7">
        <w:t xml:space="preserve">framing style to match image quality and aesthetic value </w:t>
      </w:r>
    </w:p>
    <w:p w:rsidR="00000000" w:rsidRPr="00277DB7" w:rsidP="00277DB7">
      <w:pPr>
        <w:pStyle w:val="ListBullet2"/>
      </w:pPr>
      <w:r w:rsidRPr="00277DB7">
        <w:t>customer preferences and home decor</w:t>
      </w:r>
    </w:p>
    <w:p w:rsidR="00000000" w:rsidRPr="00277DB7" w:rsidP="00277DB7">
      <w:pPr>
        <w:pStyle w:val="ListBullet2"/>
      </w:pPr>
      <w:r w:rsidRPr="00277DB7">
        <w:t>mouldings, fittings and attachments to suit framing and hanging requirem</w:t>
      </w:r>
      <w:r w:rsidRPr="00277DB7">
        <w:t>ents</w:t>
      </w:r>
    </w:p>
    <w:p w:rsidR="00000000" w:rsidRPr="00277DB7" w:rsidP="00277DB7">
      <w:pPr>
        <w:pStyle w:val="ListBullet"/>
      </w:pPr>
      <w:r w:rsidRPr="00277DB7">
        <w:t>handling requirements when inspecting items presented for framing</w:t>
      </w:r>
    </w:p>
    <w:p w:rsidR="00000000" w:rsidRPr="00277DB7" w:rsidP="00277DB7">
      <w:pPr>
        <w:pStyle w:val="ListBullet"/>
      </w:pPr>
      <w:r w:rsidRPr="00277DB7">
        <w:t>conservation considerations when assessing items presented for framing:</w:t>
      </w:r>
    </w:p>
    <w:p w:rsidR="00000000" w:rsidRPr="00277DB7" w:rsidP="00277DB7">
      <w:pPr>
        <w:pStyle w:val="ListBullet2"/>
      </w:pPr>
      <w:r w:rsidRPr="00277DB7">
        <w:t>monetary or sentimental value of the item</w:t>
      </w:r>
    </w:p>
    <w:p w:rsidR="00000000" w:rsidRPr="00277DB7" w:rsidP="00277DB7">
      <w:pPr>
        <w:pStyle w:val="ListBullet2"/>
      </w:pPr>
      <w:r w:rsidRPr="00277DB7">
        <w:t>customers preferences</w:t>
      </w:r>
    </w:p>
    <w:p w:rsidR="00000000" w:rsidRPr="00277DB7" w:rsidP="00277DB7">
      <w:pPr>
        <w:pStyle w:val="ListBullet2"/>
      </w:pPr>
      <w:r w:rsidRPr="00277DB7">
        <w:t>factors and characteristics that contribute to the need for specialist expertise</w:t>
      </w:r>
    </w:p>
    <w:p w:rsidR="00000000" w:rsidRPr="00277DB7" w:rsidP="00277DB7">
      <w:pPr>
        <w:pStyle w:val="ListBullet"/>
      </w:pPr>
      <w:r w:rsidRPr="00277DB7">
        <w:t xml:space="preserve">restoration and/or preservation techniques for artwork and frames </w:t>
      </w:r>
    </w:p>
    <w:p w:rsidR="00000000" w:rsidRPr="00277DB7" w:rsidP="00277DB7">
      <w:pPr>
        <w:pStyle w:val="ListBullet"/>
      </w:pPr>
      <w:r w:rsidRPr="00277DB7">
        <w:t xml:space="preserve">factors that can cause damage to artworks and how to reduce risk </w:t>
      </w:r>
    </w:p>
    <w:p w:rsidR="00000000" w:rsidRPr="00277DB7" w:rsidP="00277DB7">
      <w:pPr>
        <w:pStyle w:val="ListBullet2"/>
      </w:pPr>
      <w:r w:rsidRPr="00277DB7">
        <w:t>light</w:t>
      </w:r>
    </w:p>
    <w:p w:rsidR="00000000" w:rsidRPr="00277DB7" w:rsidP="00277DB7">
      <w:pPr>
        <w:pStyle w:val="ListBullet2"/>
      </w:pPr>
      <w:r w:rsidRPr="00277DB7">
        <w:t>temperature</w:t>
      </w:r>
    </w:p>
    <w:p w:rsidR="00000000" w:rsidRPr="00277DB7" w:rsidP="00277DB7">
      <w:pPr>
        <w:pStyle w:val="ListBullet2"/>
      </w:pPr>
      <w:r w:rsidRPr="00277DB7">
        <w:t>humidity</w:t>
      </w:r>
    </w:p>
    <w:p w:rsidR="00000000" w:rsidRPr="00277DB7" w:rsidP="00277DB7">
      <w:pPr>
        <w:pStyle w:val="ListBullet2"/>
      </w:pPr>
      <w:r w:rsidRPr="00277DB7">
        <w:t>physical dama</w:t>
      </w:r>
      <w:r w:rsidRPr="00277DB7">
        <w:t>ge</w:t>
      </w:r>
    </w:p>
    <w:p w:rsidR="00000000" w:rsidRPr="00277DB7" w:rsidP="00277DB7">
      <w:pPr>
        <w:pStyle w:val="ListBullet2"/>
      </w:pPr>
      <w:r w:rsidRPr="00277DB7">
        <w:t>insects</w:t>
      </w:r>
    </w:p>
    <w:p w:rsidR="00000000" w:rsidRPr="00277DB7" w:rsidP="00277DB7">
      <w:pPr>
        <w:pStyle w:val="ListBullet2"/>
      </w:pPr>
      <w:r w:rsidRPr="00277DB7">
        <w:t>pollution</w:t>
      </w:r>
    </w:p>
    <w:p w:rsidR="00000000" w:rsidRPr="00277DB7" w:rsidP="00277DB7">
      <w:pPr>
        <w:pStyle w:val="ListBullet"/>
      </w:pPr>
      <w:r w:rsidRPr="00277DB7">
        <w:t xml:space="preserve">elements and principles of design, their interrelationships and how these impact on framing design </w:t>
      </w:r>
    </w:p>
    <w:p w:rsidR="00000000" w:rsidRPr="00277DB7" w:rsidP="00277DB7">
      <w:pPr>
        <w:pStyle w:val="ListBullet2"/>
      </w:pPr>
      <w:r w:rsidRPr="00277DB7">
        <w:t>elements:</w:t>
      </w:r>
    </w:p>
    <w:p w:rsidR="00000000" w:rsidRPr="00277DB7" w:rsidP="00277DB7">
      <w:pPr>
        <w:pStyle w:val="ListBullet3"/>
      </w:pPr>
      <w:r w:rsidRPr="00277DB7">
        <w:t xml:space="preserve">line </w:t>
      </w:r>
    </w:p>
    <w:p w:rsidR="00000000" w:rsidRPr="00277DB7" w:rsidP="00277DB7">
      <w:pPr>
        <w:pStyle w:val="ListBullet3"/>
      </w:pPr>
      <w:r w:rsidRPr="00277DB7">
        <w:t xml:space="preserve">direction </w:t>
      </w:r>
    </w:p>
    <w:p w:rsidR="00000000" w:rsidRPr="00277DB7" w:rsidP="00277DB7">
      <w:pPr>
        <w:pStyle w:val="ListBullet3"/>
      </w:pPr>
      <w:r w:rsidRPr="00277DB7">
        <w:t xml:space="preserve">shape </w:t>
      </w:r>
    </w:p>
    <w:p w:rsidR="00000000" w:rsidRPr="00277DB7" w:rsidP="00277DB7">
      <w:pPr>
        <w:pStyle w:val="ListBullet3"/>
      </w:pPr>
      <w:r w:rsidRPr="00277DB7">
        <w:t xml:space="preserve">size </w:t>
      </w:r>
    </w:p>
    <w:p w:rsidR="00000000" w:rsidRPr="00277DB7" w:rsidP="00277DB7">
      <w:pPr>
        <w:pStyle w:val="ListBullet3"/>
      </w:pPr>
      <w:r w:rsidRPr="00277DB7">
        <w:t xml:space="preserve">texture </w:t>
      </w:r>
    </w:p>
    <w:p w:rsidR="00000000" w:rsidRPr="00277DB7" w:rsidP="00277DB7">
      <w:pPr>
        <w:pStyle w:val="ListBullet3"/>
      </w:pPr>
      <w:r w:rsidRPr="00277DB7">
        <w:t xml:space="preserve">value </w:t>
      </w:r>
    </w:p>
    <w:p w:rsidR="00000000" w:rsidRPr="00277DB7" w:rsidP="00277DB7">
      <w:pPr>
        <w:pStyle w:val="ListBullet3"/>
      </w:pPr>
      <w:r w:rsidRPr="00277DB7">
        <w:t>colour</w:t>
      </w:r>
    </w:p>
    <w:p w:rsidR="00000000" w:rsidRPr="00277DB7" w:rsidP="00277DB7">
      <w:pPr>
        <w:pStyle w:val="ListBullet2"/>
      </w:pPr>
      <w:r w:rsidRPr="00277DB7">
        <w:t>principles:</w:t>
      </w:r>
    </w:p>
    <w:p w:rsidR="00000000" w:rsidRPr="00277DB7" w:rsidP="00277DB7">
      <w:pPr>
        <w:pStyle w:val="ListBullet3"/>
      </w:pPr>
      <w:r w:rsidRPr="00277DB7">
        <w:t xml:space="preserve">repetition </w:t>
      </w:r>
    </w:p>
    <w:p w:rsidR="00000000" w:rsidRPr="00277DB7" w:rsidP="00277DB7">
      <w:pPr>
        <w:pStyle w:val="ListBullet3"/>
      </w:pPr>
      <w:r w:rsidRPr="00277DB7">
        <w:t xml:space="preserve">alteration </w:t>
      </w:r>
    </w:p>
    <w:p w:rsidR="00000000" w:rsidRPr="00277DB7" w:rsidP="00277DB7">
      <w:pPr>
        <w:pStyle w:val="ListBullet3"/>
      </w:pPr>
      <w:r w:rsidRPr="00277DB7">
        <w:t xml:space="preserve">harmony </w:t>
      </w:r>
    </w:p>
    <w:p w:rsidR="00000000" w:rsidRPr="00277DB7" w:rsidP="00277DB7">
      <w:pPr>
        <w:pStyle w:val="ListBullet3"/>
      </w:pPr>
      <w:r w:rsidRPr="00277DB7">
        <w:t xml:space="preserve">graduation </w:t>
      </w:r>
    </w:p>
    <w:p w:rsidR="00000000" w:rsidRPr="00277DB7" w:rsidP="00277DB7">
      <w:pPr>
        <w:pStyle w:val="ListBullet3"/>
      </w:pPr>
      <w:r w:rsidRPr="00277DB7">
        <w:t xml:space="preserve">contrast (or opposition or conflict) </w:t>
      </w:r>
    </w:p>
    <w:p w:rsidR="00000000" w:rsidRPr="00277DB7" w:rsidP="00277DB7">
      <w:pPr>
        <w:pStyle w:val="ListBullet3"/>
      </w:pPr>
      <w:r w:rsidRPr="00277DB7">
        <w:t xml:space="preserve">dominance </w:t>
      </w:r>
    </w:p>
    <w:p w:rsidR="00000000" w:rsidRPr="00277DB7" w:rsidP="00277DB7">
      <w:pPr>
        <w:pStyle w:val="ListBullet3"/>
      </w:pPr>
      <w:r w:rsidRPr="00277DB7">
        <w:t xml:space="preserve">unity </w:t>
      </w:r>
    </w:p>
    <w:p w:rsidR="00000000" w:rsidRPr="00277DB7" w:rsidP="00277DB7">
      <w:pPr>
        <w:pStyle w:val="ListBullet3"/>
      </w:pPr>
      <w:r w:rsidRPr="00277DB7">
        <w:t>balance</w:t>
      </w:r>
    </w:p>
    <w:p w:rsidR="00000000" w:rsidRPr="00277DB7" w:rsidP="00277DB7">
      <w:pPr>
        <w:pStyle w:val="ListBullet"/>
      </w:pPr>
      <w:r w:rsidRPr="00277DB7">
        <w:t xml:space="preserve">framing materials and their suitability for different items: </w:t>
      </w:r>
    </w:p>
    <w:p w:rsidR="00000000" w:rsidRPr="00277DB7" w:rsidP="00277DB7">
      <w:pPr>
        <w:pStyle w:val="ListBullet2"/>
      </w:pPr>
      <w:r w:rsidRPr="00277DB7">
        <w:t>acrylic and glass</w:t>
      </w:r>
    </w:p>
    <w:p w:rsidR="00000000" w:rsidRPr="00277DB7" w:rsidP="00277DB7">
      <w:pPr>
        <w:pStyle w:val="ListBullet2"/>
      </w:pPr>
      <w:r w:rsidRPr="00277DB7">
        <w:t>backing materials</w:t>
      </w:r>
    </w:p>
    <w:p w:rsidR="00000000" w:rsidRPr="00277DB7" w:rsidP="00277DB7">
      <w:pPr>
        <w:pStyle w:val="ListBullet2"/>
      </w:pPr>
      <w:r w:rsidRPr="00277DB7">
        <w:t>composite construction and other framing material, such as paper/cardboard/fabric mat board</w:t>
      </w:r>
    </w:p>
    <w:p w:rsidR="00000000" w:rsidRPr="00277DB7" w:rsidP="00277DB7">
      <w:pPr>
        <w:pStyle w:val="ListBullet2"/>
      </w:pPr>
      <w:r w:rsidRPr="00277DB7">
        <w:t>metal and/or alloy extrusion</w:t>
      </w:r>
    </w:p>
    <w:p w:rsidR="00000000" w:rsidRPr="00277DB7" w:rsidP="00277DB7">
      <w:pPr>
        <w:pStyle w:val="ListBullet2"/>
      </w:pPr>
      <w:r w:rsidRPr="00277DB7">
        <w:t>timber</w:t>
      </w:r>
    </w:p>
    <w:p w:rsidR="00000000" w:rsidRPr="00277DB7" w:rsidP="00277DB7">
      <w:pPr>
        <w:pStyle w:val="ListBullet"/>
      </w:pPr>
      <w:r w:rsidRPr="00277DB7">
        <w:t>mounting methods and their suitability for different items:</w:t>
      </w:r>
    </w:p>
    <w:p w:rsidR="00000000" w:rsidRPr="00277DB7" w:rsidP="00277DB7">
      <w:pPr>
        <w:pStyle w:val="ListBullet2"/>
      </w:pPr>
      <w:r w:rsidRPr="00277DB7">
        <w:t>hinging</w:t>
      </w:r>
    </w:p>
    <w:p w:rsidR="00000000" w:rsidRPr="00277DB7" w:rsidP="00277DB7">
      <w:pPr>
        <w:pStyle w:val="ListBullet2"/>
      </w:pPr>
      <w:r w:rsidRPr="00277DB7">
        <w:t>supports</w:t>
      </w:r>
    </w:p>
    <w:p w:rsidR="00000000" w:rsidRPr="00277DB7" w:rsidP="00277DB7">
      <w:pPr>
        <w:pStyle w:val="ListBullet2"/>
      </w:pPr>
      <w:r w:rsidRPr="00277DB7">
        <w:t>lacing</w:t>
      </w:r>
    </w:p>
    <w:p w:rsidR="00000000" w:rsidRPr="00277DB7" w:rsidP="00277DB7">
      <w:pPr>
        <w:pStyle w:val="ListBullet2"/>
      </w:pPr>
      <w:r w:rsidRPr="00277DB7">
        <w:t>stretching and direct mounting</w:t>
      </w:r>
    </w:p>
    <w:p w:rsidR="00000000" w:rsidRPr="00277DB7" w:rsidP="00277DB7">
      <w:pPr>
        <w:pStyle w:val="ListBullet"/>
      </w:pPr>
      <w:r w:rsidRPr="00277DB7">
        <w:t xml:space="preserve">available products, their suitability for different ‘levels’ of framing (decoration, </w:t>
      </w:r>
      <w:r w:rsidRPr="00277DB7">
        <w:t>conservation, museum) and impacts on artwork</w:t>
      </w:r>
    </w:p>
    <w:p w:rsidR="00000000" w:rsidRPr="00277DB7" w:rsidP="00277DB7">
      <w:pPr>
        <w:pStyle w:val="ListBullet2"/>
      </w:pPr>
      <w:r w:rsidRPr="00277DB7">
        <w:t>backing</w:t>
      </w:r>
    </w:p>
    <w:p w:rsidR="00000000" w:rsidRPr="00277DB7" w:rsidP="00277DB7">
      <w:pPr>
        <w:pStyle w:val="ListBullet2"/>
      </w:pPr>
      <w:r w:rsidRPr="00277DB7">
        <w:t>mat board</w:t>
      </w:r>
    </w:p>
    <w:p w:rsidR="00000000" w:rsidRPr="00277DB7" w:rsidP="00277DB7">
      <w:pPr>
        <w:pStyle w:val="ListBullet2"/>
      </w:pPr>
      <w:r w:rsidRPr="00277DB7">
        <w:t>glazing</w:t>
      </w:r>
    </w:p>
    <w:p w:rsidR="00000000" w:rsidRPr="00277DB7" w:rsidP="00277DB7">
      <w:pPr>
        <w:pStyle w:val="ListBullet2"/>
      </w:pPr>
      <w:r w:rsidRPr="00277DB7">
        <w:t xml:space="preserve">hinging </w:t>
      </w:r>
    </w:p>
    <w:p w:rsidR="00000000" w:rsidRPr="00277DB7" w:rsidP="00277DB7">
      <w:pPr>
        <w:pStyle w:val="ListBullet"/>
      </w:pPr>
      <w:r w:rsidRPr="00277DB7">
        <w:t xml:space="preserve">legal and ethical liabilities and obligations for framing </w:t>
      </w:r>
    </w:p>
    <w:p w:rsidR="00000000" w:rsidRPr="00277DB7" w:rsidP="00277DB7">
      <w:pPr>
        <w:pStyle w:val="ListBullet"/>
      </w:pPr>
      <w:r w:rsidRPr="00277DB7">
        <w:t xml:space="preserve">documentation requirements for presenting framing designs </w:t>
      </w:r>
    </w:p>
    <w:p w:rsidR="00000000" w:rsidRPr="00277DB7" w:rsidP="00277DB7">
      <w:pPr>
        <w:pStyle w:val="ListBullet"/>
      </w:pPr>
      <w:r w:rsidRPr="00277DB7">
        <w:t>mathematical procedures for estimation, measurement, and</w:t>
      </w:r>
      <w:r w:rsidRPr="00277DB7">
        <w:t xml:space="preserve"> calculations of costs </w:t>
      </w:r>
    </w:p>
    <w:p w:rsidR="001034D2" w:rsidP="00277DB7">
      <w:pPr>
        <w:pStyle w:val="ListBullet"/>
      </w:pPr>
      <w:r w:rsidRPr="00277DB7">
        <w:t>pricing processes and systems used in picture framing businesses.</w:t>
      </w:r>
    </w:p>
    <w:p w:rsidR="001034D2" w:rsidP="00277DB7">
      <w:pPr>
        <w:pStyle w:val="ListBullet"/>
      </w:pPr>
    </w:p>
    <w:p w:rsidR="00000000" w:rsidRPr="00277DB7" w:rsidP="00277DB7">
      <w:pPr>
        <w:pStyle w:val="Heading1"/>
      </w:pPr>
      <w:bookmarkStart w:id="4" w:name="O_1010023"/>
      <w:bookmarkEnd w:id="4"/>
      <w:r w:rsidRPr="00277DB7">
        <w:t>Assessment Conditions</w:t>
      </w:r>
    </w:p>
    <w:p w:rsidR="00000000" w:rsidRPr="00277DB7" w:rsidP="001034D2">
      <w:pPr>
        <w:pStyle w:val="BodyText"/>
      </w:pPr>
      <w:r w:rsidRPr="00277DB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77DB7" w:rsidP="00277DB7">
      <w:pPr>
        <w:pStyle w:val="ListBullet"/>
      </w:pPr>
      <w:r w:rsidRPr="00277DB7">
        <w:t xml:space="preserve">use of suitable facilities, equipment and resources, including: </w:t>
      </w:r>
    </w:p>
    <w:p w:rsidR="00000000" w:rsidRPr="00277DB7" w:rsidP="00277DB7">
      <w:pPr>
        <w:pStyle w:val="ListBullet2"/>
      </w:pPr>
      <w:r w:rsidRPr="00277DB7">
        <w:t>workspace equipped with:</w:t>
      </w:r>
    </w:p>
    <w:p w:rsidR="00000000" w:rsidRPr="00277DB7" w:rsidP="00277DB7">
      <w:pPr>
        <w:pStyle w:val="ListBullet3"/>
      </w:pPr>
      <w:r w:rsidRPr="00277DB7">
        <w:t xml:space="preserve">a layout table </w:t>
      </w:r>
    </w:p>
    <w:p w:rsidR="00000000" w:rsidRPr="00277DB7" w:rsidP="00277DB7">
      <w:pPr>
        <w:pStyle w:val="ListBullet3"/>
      </w:pPr>
      <w:r w:rsidRPr="00277DB7">
        <w:t>frame component samples and manufacturer information, including mouldings and mat boards</w:t>
      </w:r>
    </w:p>
    <w:p w:rsidR="00000000" w:rsidRPr="00277DB7" w:rsidP="00277DB7">
      <w:pPr>
        <w:pStyle w:val="ListBullet3"/>
      </w:pPr>
      <w:r w:rsidRPr="00277DB7">
        <w:t xml:space="preserve">colour wheel </w:t>
      </w:r>
    </w:p>
    <w:p w:rsidR="00000000" w:rsidRPr="00277DB7" w:rsidP="00277DB7">
      <w:pPr>
        <w:pStyle w:val="ListBullet2"/>
      </w:pPr>
      <w:r w:rsidRPr="00277DB7">
        <w:t>items requiring framing design.</w:t>
      </w:r>
    </w:p>
    <w:p w:rsidR="001034D2" w:rsidP="001034D2">
      <w:pPr>
        <w:pStyle w:val="BodyText"/>
      </w:pPr>
      <w:r w:rsidRPr="00277DB7">
        <w:t>Assessors must satisfy the NVR/AQTF mandatory competency requirements for assessors.</w:t>
      </w:r>
    </w:p>
    <w:p w:rsidR="00000000" w:rsidRPr="00277DB7" w:rsidP="00277DB7">
      <w:pPr>
        <w:pStyle w:val="Heading1"/>
      </w:pPr>
      <w:bookmarkStart w:id="5" w:name="O_1010026"/>
      <w:bookmarkEnd w:id="5"/>
      <w:r w:rsidRPr="00277DB7">
        <w:t>Links</w:t>
      </w:r>
    </w:p>
    <w:p w:rsidR="00000000" w:rsidRPr="00277DB7" w:rsidP="001034D2">
      <w:pPr>
        <w:pStyle w:val="BodyText"/>
      </w:pPr>
      <w:r w:rsidRPr="00277D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0CF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77DB7" w:rsidP="00277DB7"/>
    <w:sectPr w:rsidSect="00277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B7" w:rsidRPr="001034D2" w:rsidP="00103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2" w:rsidP="00277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4D2" w:rsidP="00277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34D2" w:rsidP="00277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DB7" w:rsidRPr="001034D2" w:rsidP="00103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D2" w:rsidRPr="002D2AF8" w:rsidP="00277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MSFPF3014 Assess and prepare framing design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034D2" w:rsidP="00277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C47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6B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E2A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DB7"/>
  </w:style>
  <w:style w:type="character" w:customStyle="1" w:styleId="Heading1Char">
    <w:name w:val="Heading 1 Char"/>
    <w:basedOn w:val="DefaultParagraphFont"/>
    <w:link w:val="Heading1"/>
    <w:rsid w:val="00277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D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D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7D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7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DB7"/>
    <w:rPr>
      <w:b/>
      <w:spacing w:val="0"/>
    </w:rPr>
  </w:style>
  <w:style w:type="paragraph" w:customStyle="1" w:styleId="SuperTitle">
    <w:name w:val="SuperTitle"/>
    <w:basedOn w:val="Title"/>
    <w:rsid w:val="00277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DB7"/>
    <w:rPr>
      <w:i/>
    </w:rPr>
  </w:style>
  <w:style w:type="paragraph" w:styleId="Caption">
    <w:name w:val="caption"/>
    <w:basedOn w:val="BodyText"/>
    <w:next w:val="Normal"/>
    <w:qFormat/>
    <w:rsid w:val="00277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DB7"/>
  </w:style>
  <w:style w:type="paragraph" w:styleId="TableofFigures">
    <w:name w:val="table of figures"/>
    <w:basedOn w:val="Normal"/>
    <w:next w:val="Normal"/>
    <w:semiHidden/>
    <w:rsid w:val="00277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D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7DB7"/>
    <w:rPr>
      <w:rFonts w:ascii="Wingdings" w:hAnsi="Wingdings"/>
    </w:rPr>
  </w:style>
  <w:style w:type="paragraph" w:customStyle="1" w:styleId="TableHeading">
    <w:name w:val="Table Heading"/>
    <w:basedOn w:val="HeadingBase"/>
    <w:rsid w:val="00277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DB7"/>
    <w:rPr>
      <w:color w:val="0033CC"/>
      <w:u w:val="none"/>
    </w:rPr>
  </w:style>
  <w:style w:type="paragraph" w:customStyle="1" w:styleId="BodyTextRight">
    <w:name w:val="Body Text Right"/>
    <w:basedOn w:val="BodyText"/>
    <w:rsid w:val="00277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D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DB7"/>
    <w:rPr>
      <w:sz w:val="32"/>
    </w:rPr>
  </w:style>
  <w:style w:type="paragraph" w:customStyle="1" w:styleId="HeadingProcedure">
    <w:name w:val="Heading Procedure"/>
    <w:basedOn w:val="HeadingBase"/>
    <w:next w:val="Normal"/>
    <w:rsid w:val="00277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DB7"/>
    <w:pPr>
      <w:spacing w:before="60" w:after="60"/>
    </w:pPr>
  </w:style>
  <w:style w:type="paragraph" w:styleId="ListContinue">
    <w:name w:val="List Continue"/>
    <w:basedOn w:val="List"/>
    <w:rsid w:val="00277DB7"/>
    <w:pPr>
      <w:ind w:firstLine="0"/>
    </w:pPr>
  </w:style>
  <w:style w:type="paragraph" w:customStyle="1" w:styleId="ListNote">
    <w:name w:val="List Note"/>
    <w:basedOn w:val="List"/>
    <w:rsid w:val="00277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DB7"/>
    <w:rPr>
      <w:rFonts w:ascii="Courier New" w:hAnsi="Courier New"/>
    </w:rPr>
  </w:style>
  <w:style w:type="paragraph" w:customStyle="1" w:styleId="NoteBullet">
    <w:name w:val="Note Bullet"/>
    <w:basedOn w:val="Note"/>
    <w:rsid w:val="00277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D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7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DB7"/>
    <w:rPr>
      <w:b/>
      <w:smallCaps/>
    </w:rPr>
  </w:style>
  <w:style w:type="paragraph" w:customStyle="1" w:styleId="TableListNumber">
    <w:name w:val="Table List Number"/>
    <w:basedOn w:val="ListNumber"/>
    <w:rsid w:val="00277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DB7"/>
    <w:pPr>
      <w:numPr>
        <w:numId w:val="10"/>
      </w:numPr>
    </w:pPr>
  </w:style>
  <w:style w:type="paragraph" w:customStyle="1" w:styleId="ListAlpha2">
    <w:name w:val="List Alpha 2"/>
    <w:basedOn w:val="List2"/>
    <w:rsid w:val="00277DB7"/>
    <w:pPr>
      <w:numPr>
        <w:numId w:val="9"/>
      </w:numPr>
    </w:pPr>
  </w:style>
  <w:style w:type="paragraph" w:styleId="List2">
    <w:name w:val="List 2"/>
    <w:basedOn w:val="BodyText"/>
    <w:rsid w:val="00277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D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7D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7DB7"/>
    <w:pPr>
      <w:numPr>
        <w:numId w:val="5"/>
      </w:numPr>
    </w:pPr>
  </w:style>
  <w:style w:type="paragraph" w:styleId="ListContinue2">
    <w:name w:val="List Continue 2"/>
    <w:basedOn w:val="List2"/>
    <w:rsid w:val="00277DB7"/>
    <w:pPr>
      <w:ind w:firstLine="0"/>
    </w:pPr>
  </w:style>
  <w:style w:type="paragraph" w:styleId="ListContinue3">
    <w:name w:val="List Continue 3"/>
    <w:basedOn w:val="List3"/>
    <w:rsid w:val="00277DB7"/>
    <w:pPr>
      <w:ind w:left="1021" w:firstLine="0"/>
    </w:pPr>
  </w:style>
  <w:style w:type="paragraph" w:styleId="ListContinue4">
    <w:name w:val="List Continue 4"/>
    <w:basedOn w:val="List4"/>
    <w:rsid w:val="00277DB7"/>
    <w:pPr>
      <w:ind w:firstLine="0"/>
    </w:pPr>
  </w:style>
  <w:style w:type="paragraph" w:styleId="ListContinue5">
    <w:name w:val="List Continue 5"/>
    <w:basedOn w:val="List5"/>
    <w:rsid w:val="00277DB7"/>
    <w:pPr>
      <w:ind w:firstLine="0"/>
    </w:pPr>
  </w:style>
  <w:style w:type="paragraph" w:styleId="ListNumber3">
    <w:name w:val="List Number 3"/>
    <w:basedOn w:val="List3"/>
    <w:rsid w:val="00277DB7"/>
    <w:pPr>
      <w:numPr>
        <w:numId w:val="6"/>
      </w:numPr>
    </w:pPr>
  </w:style>
  <w:style w:type="paragraph" w:styleId="ListNumber4">
    <w:name w:val="List Number 4"/>
    <w:basedOn w:val="List4"/>
    <w:rsid w:val="00277DB7"/>
    <w:pPr>
      <w:numPr>
        <w:numId w:val="7"/>
      </w:numPr>
    </w:pPr>
  </w:style>
  <w:style w:type="paragraph" w:styleId="ListNumber5">
    <w:name w:val="List Number 5"/>
    <w:basedOn w:val="List5"/>
    <w:rsid w:val="00277DB7"/>
    <w:pPr>
      <w:numPr>
        <w:numId w:val="8"/>
      </w:numPr>
    </w:pPr>
  </w:style>
  <w:style w:type="paragraph" w:styleId="BlockText">
    <w:name w:val="Block Text"/>
    <w:basedOn w:val="Normal"/>
    <w:rsid w:val="00277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DB7"/>
    <w:rPr>
      <w:sz w:val="16"/>
      <w:vertAlign w:val="superscript"/>
    </w:rPr>
  </w:style>
  <w:style w:type="character" w:customStyle="1" w:styleId="Symbols">
    <w:name w:val="Symbols"/>
    <w:basedOn w:val="DefaultParagraphFont"/>
    <w:rsid w:val="00277DB7"/>
    <w:rPr>
      <w:rFonts w:ascii="Symbol" w:hAnsi="Symbol"/>
    </w:rPr>
  </w:style>
  <w:style w:type="character" w:customStyle="1" w:styleId="MenuOptions">
    <w:name w:val="Menu Options"/>
    <w:basedOn w:val="DefaultParagraphFont"/>
    <w:rsid w:val="00277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DB7"/>
    <w:rPr>
      <w:b/>
    </w:rPr>
  </w:style>
  <w:style w:type="character" w:customStyle="1" w:styleId="Underlined">
    <w:name w:val="Underlined"/>
    <w:basedOn w:val="DefaultParagraphFont"/>
    <w:rsid w:val="00277DB7"/>
    <w:rPr>
      <w:u w:val="single"/>
    </w:rPr>
  </w:style>
  <w:style w:type="paragraph" w:customStyle="1" w:styleId="TableBodyTextRight">
    <w:name w:val="Table Body Text Right"/>
    <w:basedOn w:val="TableBodyText"/>
    <w:rsid w:val="00277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DB7"/>
    <w:rPr>
      <w:sz w:val="18"/>
    </w:rPr>
  </w:style>
  <w:style w:type="paragraph" w:customStyle="1" w:styleId="BodySmallRight">
    <w:name w:val="Body Small Right"/>
    <w:basedOn w:val="BodyTextRight"/>
    <w:rsid w:val="00277DB7"/>
    <w:rPr>
      <w:sz w:val="18"/>
      <w:szCs w:val="18"/>
    </w:rPr>
  </w:style>
  <w:style w:type="paragraph" w:customStyle="1" w:styleId="MarginEdition">
    <w:name w:val="Margin Edition"/>
    <w:basedOn w:val="MarginNote"/>
    <w:rsid w:val="00277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DB7"/>
    <w:rPr>
      <w:sz w:val="2"/>
      <w:szCs w:val="2"/>
    </w:rPr>
  </w:style>
  <w:style w:type="character" w:customStyle="1" w:styleId="Small">
    <w:name w:val="Small"/>
    <w:basedOn w:val="DefaultParagraphFont"/>
    <w:rsid w:val="00277DB7"/>
    <w:rPr>
      <w:sz w:val="16"/>
    </w:rPr>
  </w:style>
  <w:style w:type="paragraph" w:customStyle="1" w:styleId="WideTable">
    <w:name w:val="Wide Table"/>
    <w:basedOn w:val="Normal"/>
    <w:rsid w:val="00277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DB7"/>
  </w:style>
  <w:style w:type="paragraph" w:styleId="Quote">
    <w:name w:val="Quote"/>
    <w:basedOn w:val="Heading1"/>
    <w:link w:val="QuoteChar"/>
    <w:qFormat/>
    <w:rsid w:val="00277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DB7"/>
    <w:pPr>
      <w:pageBreakBefore/>
    </w:pPr>
  </w:style>
  <w:style w:type="paragraph" w:customStyle="1" w:styleId="Border">
    <w:name w:val="Border"/>
    <w:basedOn w:val="Normal"/>
    <w:qFormat/>
    <w:rsid w:val="00277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DB7"/>
    <w:rPr>
      <w:u w:val="single"/>
    </w:rPr>
  </w:style>
  <w:style w:type="character" w:customStyle="1" w:styleId="BoldandItalics">
    <w:name w:val="Bold and Italics"/>
    <w:qFormat/>
    <w:rsid w:val="00277DB7"/>
    <w:rPr>
      <w:b/>
      <w:i/>
      <w:u w:val="none"/>
    </w:rPr>
  </w:style>
  <w:style w:type="paragraph" w:styleId="BalloonText">
    <w:name w:val="Balloon Text"/>
    <w:basedOn w:val="Normal"/>
    <w:link w:val="BalloonTextChar"/>
    <w:rsid w:val="00277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DB7"/>
    <w:pPr>
      <w:spacing w:before="0" w:after="0"/>
    </w:pPr>
  </w:style>
  <w:style w:type="paragraph" w:customStyle="1" w:styleId="BodyTextBold">
    <w:name w:val="Body Text Bold"/>
    <w:basedOn w:val="BodyText"/>
    <w:qFormat/>
    <w:rsid w:val="00277DB7"/>
    <w:rPr>
      <w:b/>
    </w:rPr>
  </w:style>
  <w:style w:type="character" w:styleId="Hyperlink">
    <w:name w:val="Hyperlink"/>
    <w:basedOn w:val="DefaultParagraphFont"/>
    <w:uiPriority w:val="99"/>
    <w:unhideWhenUsed/>
    <w:rsid w:val="00103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3095</Characters>
  <Application>Microsoft Office Word</Application>
  <DocSecurity>0</DocSecurity>
  <Lines>106</Lines>
  <Paragraphs>98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MSFPF3014 Assess and prepare framing design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