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219C" w:rsidP="009021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MSFPF3005 Recognise and handle artwork for framing</w:t>
      </w:r>
      <w:r>
        <w:fldChar w:fldCharType="end"/>
      </w:r>
    </w:p>
    <w:p w:rsidR="0090219C" w:rsidP="0090219C">
      <w:pPr>
        <w:pStyle w:val="Version"/>
        <w:sectPr w:rsidSect="00A955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551B" w:rsidP="00A9551B">
      <w:pPr>
        <w:pStyle w:val="SuperHeading"/>
      </w:pPr>
      <w:r w:rsidRPr="00A9551B">
        <w:t>Assessment Requirements for MSFPF3005 Recognise and handle artwork for framing</w:t>
      </w:r>
    </w:p>
    <w:p w:rsidR="00000000" w:rsidRPr="00A9551B" w:rsidP="00A9551B">
      <w:pPr>
        <w:pStyle w:val="Heading1"/>
      </w:pPr>
      <w:bookmarkStart w:id="1" w:name="O_626467"/>
      <w:bookmarkEnd w:id="1"/>
      <w:r w:rsidRPr="00A9551B">
        <w:t>Modification History</w:t>
      </w:r>
    </w:p>
    <w:p w:rsidR="00000000" w:rsidRPr="00A9551B" w:rsidP="00A9551B">
      <w:pPr>
        <w:pStyle w:val="BodyText"/>
      </w:pPr>
      <w:r w:rsidRPr="00A9551B">
        <w:t>Release 1 - New unit of competency</w:t>
      </w:r>
    </w:p>
    <w:p w:rsidR="00000000" w:rsidRPr="00A9551B" w:rsidP="00A9551B">
      <w:pPr>
        <w:pStyle w:val="AllowPageBreak"/>
      </w:pPr>
    </w:p>
    <w:p w:rsidR="00000000" w:rsidRPr="00A9551B" w:rsidP="00A9551B">
      <w:pPr>
        <w:pStyle w:val="Heading1"/>
      </w:pPr>
      <w:bookmarkStart w:id="2" w:name="O_626470"/>
      <w:bookmarkEnd w:id="2"/>
      <w:r w:rsidRPr="00A9551B">
        <w:t>Performance Evidence</w:t>
      </w:r>
    </w:p>
    <w:p w:rsidR="00000000" w:rsidRPr="00A9551B" w:rsidP="00A9551B">
      <w:pPr>
        <w:pStyle w:val="ListBullet"/>
      </w:pPr>
      <w:r w:rsidRPr="00A9551B">
        <w:t xml:space="preserve">Interpret work order and locate and apply relevant information </w:t>
      </w:r>
    </w:p>
    <w:p w:rsidR="00000000" w:rsidRPr="00A9551B" w:rsidP="00A9551B">
      <w:pPr>
        <w:pStyle w:val="ListBullet"/>
      </w:pPr>
      <w:r w:rsidRPr="00A9551B">
        <w:t xml:space="preserve">Apply safe handling requirements for equipment, products and materials, including use of personal protective equipment </w:t>
      </w:r>
    </w:p>
    <w:p w:rsidR="00000000" w:rsidRPr="00A9551B" w:rsidP="00A9551B">
      <w:pPr>
        <w:pStyle w:val="ListBullet"/>
      </w:pPr>
      <w:r w:rsidRPr="00A9551B">
        <w:t xml:space="preserve">Identify materials used in the work process </w:t>
      </w:r>
    </w:p>
    <w:p w:rsidR="00000000" w:rsidRPr="00A9551B" w:rsidP="00A9551B">
      <w:pPr>
        <w:pStyle w:val="ListBullet"/>
      </w:pPr>
      <w:r w:rsidRPr="00A9551B">
        <w:t xml:space="preserve">Follow work instructions, operating procedures and inspection processes to: </w:t>
      </w:r>
    </w:p>
    <w:p w:rsidR="00000000" w:rsidRPr="00A9551B" w:rsidP="00A9551B">
      <w:pPr>
        <w:pStyle w:val="ListBullet2"/>
      </w:pPr>
      <w:r w:rsidRPr="00A9551B">
        <w:t xml:space="preserve">minimise the </w:t>
      </w:r>
      <w:r w:rsidRPr="00A9551B">
        <w:t xml:space="preserve">risk of injury to self or others </w:t>
      </w:r>
    </w:p>
    <w:p w:rsidR="00000000" w:rsidRPr="00A9551B" w:rsidP="00A9551B">
      <w:pPr>
        <w:pStyle w:val="ListBullet2"/>
      </w:pPr>
      <w:r w:rsidRPr="00A9551B">
        <w:t xml:space="preserve">prevent damage to goods, equipment and products </w:t>
      </w:r>
    </w:p>
    <w:p w:rsidR="00000000" w:rsidRPr="00A9551B" w:rsidP="00A9551B">
      <w:pPr>
        <w:pStyle w:val="ListBullet2"/>
      </w:pPr>
      <w:r w:rsidRPr="00A9551B">
        <w:t xml:space="preserve">maintain required production output and product quality </w:t>
      </w:r>
    </w:p>
    <w:p w:rsidR="00000000" w:rsidRPr="00A9551B" w:rsidP="00A9551B">
      <w:pPr>
        <w:pStyle w:val="ListBullet"/>
      </w:pPr>
      <w:r w:rsidRPr="00A9551B">
        <w:t>Recognise from five (5) items of artwork representing various media, including:</w:t>
      </w:r>
    </w:p>
    <w:p w:rsidR="00000000" w:rsidRPr="00A9551B" w:rsidP="00A9551B">
      <w:pPr>
        <w:pStyle w:val="ListBullet2"/>
      </w:pPr>
      <w:r w:rsidRPr="00A9551B">
        <w:t xml:space="preserve">era </w:t>
      </w:r>
    </w:p>
    <w:p w:rsidR="00000000" w:rsidRPr="00A9551B" w:rsidP="00A9551B">
      <w:pPr>
        <w:pStyle w:val="ListBullet2"/>
      </w:pPr>
      <w:r w:rsidRPr="00A9551B">
        <w:t xml:space="preserve">artwork medium and material </w:t>
      </w:r>
    </w:p>
    <w:p w:rsidR="00000000" w:rsidRPr="00A9551B" w:rsidP="00A9551B">
      <w:pPr>
        <w:pStyle w:val="ListBullet2"/>
      </w:pPr>
      <w:r w:rsidRPr="00A9551B">
        <w:t xml:space="preserve">any historical/monetary/sentimental significance </w:t>
      </w:r>
    </w:p>
    <w:p w:rsidR="00000000" w:rsidRPr="00A9551B" w:rsidP="00A9551B">
      <w:pPr>
        <w:pStyle w:val="ListBullet2"/>
      </w:pPr>
      <w:r w:rsidRPr="00A9551B">
        <w:t xml:space="preserve">handling and storage requirements </w:t>
      </w:r>
    </w:p>
    <w:p w:rsidR="00000000" w:rsidRPr="00A9551B" w:rsidP="00A9551B">
      <w:pPr>
        <w:pStyle w:val="ListBullet2"/>
      </w:pPr>
      <w:r w:rsidRPr="00A9551B">
        <w:t xml:space="preserve">impact on techniques </w:t>
      </w:r>
    </w:p>
    <w:p w:rsidR="00000000" w:rsidRPr="00A9551B" w:rsidP="00A9551B">
      <w:pPr>
        <w:pStyle w:val="ListBullet2"/>
      </w:pPr>
      <w:r w:rsidRPr="00A9551B">
        <w:t xml:space="preserve">materials to be used for framing </w:t>
      </w:r>
    </w:p>
    <w:p w:rsidR="00000000" w:rsidRPr="00A9551B" w:rsidP="00A9551B">
      <w:pPr>
        <w:pStyle w:val="ListBullet"/>
      </w:pPr>
      <w:r w:rsidRPr="00A9551B">
        <w:t>Use mathematical ideas and techniques to correctly complete measurements, calculate area and estimate material req</w:t>
      </w:r>
      <w:r w:rsidRPr="00A9551B">
        <w:t xml:space="preserve">uirements </w:t>
      </w:r>
    </w:p>
    <w:p w:rsidR="00000000" w:rsidRPr="00A9551B" w:rsidP="00A9551B">
      <w:pPr>
        <w:pStyle w:val="ListBullet"/>
      </w:pPr>
      <w:r w:rsidRPr="00A9551B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A9551B" w:rsidP="00A9551B">
      <w:pPr>
        <w:pStyle w:val="ListBullet"/>
      </w:pPr>
      <w:r w:rsidRPr="00A9551B">
        <w:t xml:space="preserve">Avoid backtracking, work flow interruptions or </w:t>
      </w:r>
      <w:r w:rsidRPr="00A9551B">
        <w:t>wastage</w:t>
      </w:r>
    </w:p>
    <w:p w:rsidR="00000000" w:rsidRPr="00A9551B" w:rsidP="00A9551B">
      <w:pPr>
        <w:pStyle w:val="ListBullet"/>
      </w:pPr>
      <w:r w:rsidRPr="00A9551B">
        <w:t>Work with others and in a team by recognising dependencies and using cooperative approaches to optimise work flow and productivity</w:t>
      </w:r>
    </w:p>
    <w:p w:rsidR="00000000" w:rsidRPr="00A9551B" w:rsidP="00A9551B">
      <w:pPr>
        <w:pStyle w:val="AllowPageBreak"/>
      </w:pPr>
    </w:p>
    <w:p w:rsidR="00000000" w:rsidRPr="00A9551B" w:rsidP="00A9551B">
      <w:pPr>
        <w:pStyle w:val="Heading1"/>
      </w:pPr>
      <w:bookmarkStart w:id="3" w:name="O_626469"/>
      <w:bookmarkEnd w:id="3"/>
      <w:r w:rsidRPr="00A9551B">
        <w:t>Knowledge Evidence</w:t>
      </w:r>
    </w:p>
    <w:p w:rsidR="00000000" w:rsidRPr="00A9551B" w:rsidP="00A9551B">
      <w:pPr>
        <w:pStyle w:val="ListBullet"/>
      </w:pPr>
      <w:r w:rsidRPr="00A9551B">
        <w:t xml:space="preserve">Liabilities and obligations relating to framing artwork </w:t>
      </w:r>
    </w:p>
    <w:p w:rsidR="00000000" w:rsidRPr="00A9551B" w:rsidP="00A9551B">
      <w:pPr>
        <w:pStyle w:val="ListBullet"/>
      </w:pPr>
      <w:r w:rsidRPr="00A9551B">
        <w:t xml:space="preserve">Framing materials and techniques </w:t>
      </w:r>
    </w:p>
    <w:p w:rsidR="00000000" w:rsidRPr="00A9551B" w:rsidP="00A9551B">
      <w:pPr>
        <w:pStyle w:val="ListBullet"/>
      </w:pPr>
      <w:r w:rsidRPr="00A9551B">
        <w:t xml:space="preserve">Materials used in artworks </w:t>
      </w:r>
    </w:p>
    <w:p w:rsidR="00000000" w:rsidRPr="00A9551B" w:rsidP="00A9551B">
      <w:pPr>
        <w:pStyle w:val="ListBullet"/>
      </w:pPr>
      <w:r w:rsidRPr="00A9551B">
        <w:t xml:space="preserve">Chemical reactions between artworks and framing materials </w:t>
      </w:r>
    </w:p>
    <w:p w:rsidR="00000000" w:rsidRPr="00A9551B" w:rsidP="00A9551B">
      <w:pPr>
        <w:pStyle w:val="ListBullet"/>
      </w:pPr>
      <w:r w:rsidRPr="00A9551B">
        <w:t xml:space="preserve">Restoration/conservation techniques for artwork and frames </w:t>
      </w:r>
    </w:p>
    <w:p w:rsidR="00000000" w:rsidRPr="00A9551B" w:rsidP="00A9551B">
      <w:pPr>
        <w:pStyle w:val="ListBullet"/>
      </w:pPr>
      <w:r w:rsidRPr="00A9551B">
        <w:t xml:space="preserve">Operation requirements of equipment and work systems in work area </w:t>
      </w:r>
    </w:p>
    <w:p w:rsidR="00000000" w:rsidRPr="00A9551B" w:rsidP="00A9551B">
      <w:pPr>
        <w:pStyle w:val="ListBullet"/>
      </w:pPr>
      <w:r w:rsidRPr="00A9551B">
        <w:t>Assess e</w:t>
      </w:r>
      <w:r w:rsidRPr="00A9551B">
        <w:t>ffects of this process on the artwork</w:t>
      </w:r>
    </w:p>
    <w:p w:rsidR="00000000" w:rsidRPr="00A9551B" w:rsidP="00A9551B">
      <w:pPr>
        <w:pStyle w:val="AllowPageBreak"/>
      </w:pPr>
    </w:p>
    <w:p w:rsidR="00000000" w:rsidRPr="00A9551B" w:rsidP="00A9551B">
      <w:pPr>
        <w:pStyle w:val="Heading1"/>
      </w:pPr>
      <w:bookmarkStart w:id="4" w:name="O_626468"/>
      <w:bookmarkEnd w:id="4"/>
      <w:r w:rsidRPr="00A9551B">
        <w:t>Assessment Conditions</w:t>
      </w:r>
    </w:p>
    <w:p w:rsidR="00000000" w:rsidRPr="00A9551B" w:rsidP="00A9551B">
      <w:pPr>
        <w:pStyle w:val="ListBullet"/>
      </w:pPr>
      <w:r w:rsidRPr="00A9551B">
        <w:t>Assessors must:</w:t>
      </w:r>
    </w:p>
    <w:p w:rsidR="00000000" w:rsidRPr="00A9551B" w:rsidP="00A9551B">
      <w:pPr>
        <w:pStyle w:val="ListBullet2"/>
      </w:pPr>
      <w:r w:rsidRPr="00A9551B">
        <w:t>hold training and assessment competencies as determined by the National Skills Standards Council (NSSC) or its successors</w:t>
      </w:r>
    </w:p>
    <w:p w:rsidR="00000000" w:rsidRPr="00A9551B" w:rsidP="00A9551B">
      <w:pPr>
        <w:pStyle w:val="ListBullet2"/>
      </w:pPr>
      <w:r w:rsidRPr="00A9551B">
        <w:t>have vocational competency in the furni</w:t>
      </w:r>
      <w:r w:rsidRPr="00A9551B">
        <w:t xml:space="preserve">shing industry at least to the level being assessed with broad industry knowledge and experience, usually combined with a relevant industry qualification </w:t>
      </w:r>
    </w:p>
    <w:p w:rsidR="00000000" w:rsidRPr="00A9551B" w:rsidP="00A9551B">
      <w:pPr>
        <w:pStyle w:val="ListBullet2"/>
      </w:pPr>
      <w:r w:rsidRPr="00A9551B">
        <w:t>be familiar with the current skills and knowledge used and have relevant, current experience in the f</w:t>
      </w:r>
      <w:r w:rsidRPr="00A9551B">
        <w:t>urnishing industry.</w:t>
      </w:r>
    </w:p>
    <w:p w:rsidR="00000000" w:rsidRPr="00A9551B" w:rsidP="00A9551B">
      <w:pPr>
        <w:pStyle w:val="ListBullet"/>
      </w:pPr>
      <w:r w:rsidRPr="00A9551B">
        <w:t xml:space="preserve">Assessment methods must confirm consistency of performance over time rather than a single assessment event and in a range of workplace relevant contexts. </w:t>
      </w:r>
    </w:p>
    <w:p w:rsidR="00000000" w:rsidRPr="00A9551B" w:rsidP="00A9551B">
      <w:pPr>
        <w:pStyle w:val="ListBullet"/>
      </w:pPr>
      <w:r w:rsidRPr="00A9551B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A9551B" w:rsidP="00A9551B">
      <w:pPr>
        <w:pStyle w:val="ListBullet"/>
      </w:pPr>
      <w:r w:rsidRPr="00A9551B">
        <w:t>Assessment is to be conducted on single units of competency or in c</w:t>
      </w:r>
      <w:r w:rsidRPr="00A9551B">
        <w:t>onjunction with other related units of competency. Foundation skills are integral to competent performance in the unit and should not be assessed separately.</w:t>
      </w:r>
    </w:p>
    <w:p w:rsidR="00000000" w:rsidRPr="00A9551B" w:rsidP="00A9551B">
      <w:pPr>
        <w:pStyle w:val="ListBullet"/>
      </w:pPr>
      <w:r w:rsidRPr="00A9551B">
        <w:t>Assessment must occur on the job or in a workplace simulated facility with relevant process, equip</w:t>
      </w:r>
      <w:r w:rsidRPr="00A9551B">
        <w:t>ment, materials, work instructions and deadlines.</w:t>
      </w:r>
    </w:p>
    <w:p w:rsidR="00000000" w:rsidRPr="00A9551B" w:rsidP="00A9551B">
      <w:pPr>
        <w:pStyle w:val="ListBullet"/>
      </w:pPr>
      <w:r w:rsidRPr="00A9551B">
        <w:t>Access is required to historical information and artwork for conservation framing.</w:t>
      </w:r>
    </w:p>
    <w:p w:rsidR="00000000" w:rsidRPr="00A9551B" w:rsidP="00A9551B">
      <w:pPr>
        <w:pStyle w:val="AllowPageBreak"/>
      </w:pPr>
    </w:p>
    <w:p w:rsidR="00000000" w:rsidRPr="00A9551B" w:rsidP="00A9551B">
      <w:pPr>
        <w:pStyle w:val="Heading1"/>
      </w:pPr>
      <w:bookmarkStart w:id="5" w:name="O_626466"/>
      <w:bookmarkEnd w:id="5"/>
      <w:r w:rsidRPr="00A9551B">
        <w:t>Links</w:t>
      </w:r>
    </w:p>
    <w:p w:rsidR="00000000" w:rsidRPr="00A9551B" w:rsidP="00A9551B">
      <w:pPr>
        <w:pStyle w:val="BodyText"/>
      </w:pPr>
      <w:r w:rsidRPr="00A9551B">
        <w:t>Companion Volume implementation guides are found in VETNet - https://vetnet.education.gov.au/Pages/T</w:t>
      </w:r>
      <w:r w:rsidRPr="00A9551B">
        <w:t>rainingDocs.aspx?q=0601ab95-583a-4e93-b2d4-cfb27b03ed73</w:t>
      </w:r>
    </w:p>
    <w:p w:rsidR="00000000" w:rsidRPr="00A9551B" w:rsidP="00A9551B"/>
    <w:sectPr w:rsidSect="00A955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1B" w:rsidRPr="0090219C" w:rsidP="009021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9C" w:rsidP="00A955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219C" w:rsidP="00A955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0219C" w:rsidP="00A955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551B" w:rsidRPr="0090219C" w:rsidP="009021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9C" w:rsidRPr="002D2AF8" w:rsidP="00A955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MSFPF3005 Recognise and handle artwork for framing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90219C" w:rsidP="00A955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0859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E2C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EED4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5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55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55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55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55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55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55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55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55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55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55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551B"/>
  </w:style>
  <w:style w:type="character" w:customStyle="1" w:styleId="Heading1Char">
    <w:name w:val="Heading 1 Char"/>
    <w:basedOn w:val="DefaultParagraphFont"/>
    <w:link w:val="Heading1"/>
    <w:rsid w:val="00A955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551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55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551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551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55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55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55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55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55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5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5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5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5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55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55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55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55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55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55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55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55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55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55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55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55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55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551B"/>
    <w:rPr>
      <w:b/>
      <w:spacing w:val="0"/>
    </w:rPr>
  </w:style>
  <w:style w:type="paragraph" w:customStyle="1" w:styleId="SuperTitle">
    <w:name w:val="SuperTitle"/>
    <w:basedOn w:val="Title"/>
    <w:rsid w:val="00A955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55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55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55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55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55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55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55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55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55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55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55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551B"/>
    <w:rPr>
      <w:i/>
    </w:rPr>
  </w:style>
  <w:style w:type="paragraph" w:styleId="Caption">
    <w:name w:val="caption"/>
    <w:basedOn w:val="BodyText"/>
    <w:next w:val="Normal"/>
    <w:qFormat/>
    <w:rsid w:val="00A955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55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55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551B"/>
  </w:style>
  <w:style w:type="paragraph" w:styleId="TableofFigures">
    <w:name w:val="table of figures"/>
    <w:basedOn w:val="Normal"/>
    <w:next w:val="Normal"/>
    <w:semiHidden/>
    <w:rsid w:val="00A955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551B"/>
    <w:pPr>
      <w:numPr>
        <w:numId w:val="11"/>
      </w:numPr>
    </w:pPr>
  </w:style>
  <w:style w:type="character" w:customStyle="1" w:styleId="WingdingSymbols">
    <w:name w:val="Wingding Symbols"/>
    <w:rsid w:val="00A9551B"/>
    <w:rPr>
      <w:rFonts w:ascii="Wingdings" w:hAnsi="Wingdings"/>
    </w:rPr>
  </w:style>
  <w:style w:type="paragraph" w:customStyle="1" w:styleId="TableHeading">
    <w:name w:val="Table Heading"/>
    <w:basedOn w:val="HeadingBase"/>
    <w:rsid w:val="00A955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551B"/>
    <w:rPr>
      <w:color w:val="0033CC"/>
      <w:u w:val="none"/>
    </w:rPr>
  </w:style>
  <w:style w:type="paragraph" w:customStyle="1" w:styleId="BodyTextRight">
    <w:name w:val="Body Text Right"/>
    <w:basedOn w:val="BodyText"/>
    <w:rsid w:val="00A955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55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55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55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55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55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551B"/>
    <w:rPr>
      <w:sz w:val="32"/>
    </w:rPr>
  </w:style>
  <w:style w:type="paragraph" w:customStyle="1" w:styleId="HeadingProcedure">
    <w:name w:val="Heading Procedure"/>
    <w:basedOn w:val="HeadingBase"/>
    <w:next w:val="Normal"/>
    <w:rsid w:val="00A955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551B"/>
    <w:pPr>
      <w:spacing w:before="60" w:after="60"/>
    </w:pPr>
  </w:style>
  <w:style w:type="paragraph" w:styleId="ListContinue">
    <w:name w:val="List Continue"/>
    <w:basedOn w:val="List"/>
    <w:rsid w:val="00A9551B"/>
    <w:pPr>
      <w:ind w:firstLine="0"/>
    </w:pPr>
  </w:style>
  <w:style w:type="paragraph" w:customStyle="1" w:styleId="ListNote">
    <w:name w:val="List Note"/>
    <w:basedOn w:val="List"/>
    <w:rsid w:val="00A955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55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55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551B"/>
    <w:rPr>
      <w:rFonts w:ascii="Courier New" w:hAnsi="Courier New"/>
    </w:rPr>
  </w:style>
  <w:style w:type="paragraph" w:customStyle="1" w:styleId="NoteBullet">
    <w:name w:val="Note Bullet"/>
    <w:basedOn w:val="Note"/>
    <w:rsid w:val="00A955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55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55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55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551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955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55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551B"/>
    <w:rPr>
      <w:b/>
      <w:smallCaps/>
    </w:rPr>
  </w:style>
  <w:style w:type="paragraph" w:customStyle="1" w:styleId="TableListNumber">
    <w:name w:val="Table List Number"/>
    <w:basedOn w:val="ListNumber"/>
    <w:rsid w:val="00A955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55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551B"/>
    <w:pPr>
      <w:numPr>
        <w:numId w:val="9"/>
      </w:numPr>
    </w:pPr>
  </w:style>
  <w:style w:type="paragraph" w:customStyle="1" w:styleId="ListAlpha2">
    <w:name w:val="List Alpha 2"/>
    <w:basedOn w:val="List2"/>
    <w:rsid w:val="00A9551B"/>
    <w:pPr>
      <w:numPr>
        <w:numId w:val="8"/>
      </w:numPr>
    </w:pPr>
  </w:style>
  <w:style w:type="paragraph" w:styleId="List2">
    <w:name w:val="List 2"/>
    <w:basedOn w:val="BodyText"/>
    <w:rsid w:val="00A955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55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55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55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551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55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551B"/>
    <w:pPr>
      <w:numPr>
        <w:numId w:val="4"/>
      </w:numPr>
    </w:pPr>
  </w:style>
  <w:style w:type="paragraph" w:styleId="ListContinue2">
    <w:name w:val="List Continue 2"/>
    <w:basedOn w:val="List2"/>
    <w:rsid w:val="00A9551B"/>
    <w:pPr>
      <w:ind w:firstLine="0"/>
    </w:pPr>
  </w:style>
  <w:style w:type="paragraph" w:styleId="ListContinue3">
    <w:name w:val="List Continue 3"/>
    <w:basedOn w:val="List3"/>
    <w:rsid w:val="00A9551B"/>
    <w:pPr>
      <w:ind w:left="1021" w:firstLine="0"/>
    </w:pPr>
  </w:style>
  <w:style w:type="paragraph" w:styleId="ListContinue4">
    <w:name w:val="List Continue 4"/>
    <w:basedOn w:val="List4"/>
    <w:rsid w:val="00A9551B"/>
    <w:pPr>
      <w:ind w:firstLine="0"/>
    </w:pPr>
  </w:style>
  <w:style w:type="paragraph" w:styleId="ListContinue5">
    <w:name w:val="List Continue 5"/>
    <w:basedOn w:val="List5"/>
    <w:rsid w:val="00A9551B"/>
    <w:pPr>
      <w:ind w:firstLine="0"/>
    </w:pPr>
  </w:style>
  <w:style w:type="paragraph" w:styleId="ListNumber3">
    <w:name w:val="List Number 3"/>
    <w:basedOn w:val="List3"/>
    <w:rsid w:val="00A9551B"/>
    <w:pPr>
      <w:numPr>
        <w:numId w:val="5"/>
      </w:numPr>
    </w:pPr>
  </w:style>
  <w:style w:type="paragraph" w:styleId="ListNumber4">
    <w:name w:val="List Number 4"/>
    <w:basedOn w:val="List4"/>
    <w:rsid w:val="00A9551B"/>
    <w:pPr>
      <w:numPr>
        <w:numId w:val="6"/>
      </w:numPr>
    </w:pPr>
  </w:style>
  <w:style w:type="paragraph" w:styleId="ListNumber5">
    <w:name w:val="List Number 5"/>
    <w:basedOn w:val="List5"/>
    <w:rsid w:val="00A9551B"/>
    <w:pPr>
      <w:numPr>
        <w:numId w:val="7"/>
      </w:numPr>
    </w:pPr>
  </w:style>
  <w:style w:type="paragraph" w:styleId="BlockText">
    <w:name w:val="Block Text"/>
    <w:basedOn w:val="Normal"/>
    <w:rsid w:val="00A955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55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551B"/>
    <w:rPr>
      <w:sz w:val="16"/>
      <w:vertAlign w:val="superscript"/>
    </w:rPr>
  </w:style>
  <w:style w:type="character" w:customStyle="1" w:styleId="Symbols">
    <w:name w:val="Symbols"/>
    <w:basedOn w:val="DefaultParagraphFont"/>
    <w:rsid w:val="00A9551B"/>
    <w:rPr>
      <w:rFonts w:ascii="Symbol" w:hAnsi="Symbol"/>
    </w:rPr>
  </w:style>
  <w:style w:type="character" w:customStyle="1" w:styleId="MenuOptions">
    <w:name w:val="Menu Options"/>
    <w:basedOn w:val="DefaultParagraphFont"/>
    <w:rsid w:val="00A955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551B"/>
    <w:rPr>
      <w:b/>
    </w:rPr>
  </w:style>
  <w:style w:type="character" w:customStyle="1" w:styleId="Underlined">
    <w:name w:val="Underlined"/>
    <w:basedOn w:val="DefaultParagraphFont"/>
    <w:rsid w:val="00A9551B"/>
    <w:rPr>
      <w:u w:val="single"/>
    </w:rPr>
  </w:style>
  <w:style w:type="paragraph" w:customStyle="1" w:styleId="TableBodyTextRight">
    <w:name w:val="Table Body Text Right"/>
    <w:basedOn w:val="TableBodyText"/>
    <w:rsid w:val="00A955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551B"/>
    <w:rPr>
      <w:sz w:val="18"/>
    </w:rPr>
  </w:style>
  <w:style w:type="paragraph" w:customStyle="1" w:styleId="BodySmallRight">
    <w:name w:val="Body Small Right"/>
    <w:basedOn w:val="BodyTextRight"/>
    <w:rsid w:val="00A9551B"/>
    <w:rPr>
      <w:sz w:val="18"/>
      <w:szCs w:val="18"/>
    </w:rPr>
  </w:style>
  <w:style w:type="paragraph" w:customStyle="1" w:styleId="MarginEdition">
    <w:name w:val="Margin Edition"/>
    <w:basedOn w:val="MarginNote"/>
    <w:rsid w:val="00A955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551B"/>
    <w:rPr>
      <w:sz w:val="2"/>
      <w:szCs w:val="2"/>
    </w:rPr>
  </w:style>
  <w:style w:type="character" w:customStyle="1" w:styleId="Small">
    <w:name w:val="Small"/>
    <w:basedOn w:val="DefaultParagraphFont"/>
    <w:rsid w:val="00A9551B"/>
    <w:rPr>
      <w:sz w:val="16"/>
    </w:rPr>
  </w:style>
  <w:style w:type="paragraph" w:customStyle="1" w:styleId="WideTable">
    <w:name w:val="Wide Table"/>
    <w:basedOn w:val="Normal"/>
    <w:rsid w:val="00A955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551B"/>
  </w:style>
  <w:style w:type="paragraph" w:styleId="Quote">
    <w:name w:val="Quote"/>
    <w:basedOn w:val="Heading1"/>
    <w:link w:val="QuoteChar"/>
    <w:qFormat/>
    <w:rsid w:val="00A955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55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551B"/>
    <w:pPr>
      <w:pageBreakBefore/>
    </w:pPr>
  </w:style>
  <w:style w:type="paragraph" w:customStyle="1" w:styleId="Border">
    <w:name w:val="Border"/>
    <w:basedOn w:val="Normal"/>
    <w:qFormat/>
    <w:rsid w:val="00A955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55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5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5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55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55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55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55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55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551B"/>
    <w:rPr>
      <w:u w:val="single"/>
    </w:rPr>
  </w:style>
  <w:style w:type="character" w:customStyle="1" w:styleId="BoldandItalics">
    <w:name w:val="Bold and Italics"/>
    <w:qFormat/>
    <w:rsid w:val="00A9551B"/>
    <w:rPr>
      <w:b/>
      <w:i/>
      <w:u w:val="none"/>
    </w:rPr>
  </w:style>
  <w:style w:type="paragraph" w:styleId="BalloonText">
    <w:name w:val="Balloon Text"/>
    <w:basedOn w:val="Normal"/>
    <w:link w:val="BalloonTextChar"/>
    <w:rsid w:val="00A955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55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551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55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55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551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2850</Characters>
  <Application>Microsoft Office Word</Application>
  <DocSecurity>0</DocSecurity>
  <Lines>68</Lines>
  <Paragraphs>44</Paragraphs>
  <ScaleCrop>false</ScaleCrop>
  <Company>Author-it Software Corporation Ltd.</Company>
  <LinksUpToDate>false</LinksUpToDate>
  <CharactersWithSpaces>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MSFPF3005 Recognise and handle artwork for framing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2016-12-09T03:27:00Z</dcterms:created>
  <dcterms:modified xsi:type="dcterms:W3CDTF">2016-12-09T03:27:00Z</dcterms:modified>
</cp:coreProperties>
</file>