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587" w:rsidP="009E2587">
      <w:pPr>
        <w:pStyle w:val="Title"/>
      </w:pPr>
      <w:r>
        <w:fldChar w:fldCharType="begin"/>
      </w:r>
      <w:r>
        <w:instrText xml:space="preserve"> TITLE   \* MERGEFORMAT </w:instrText>
      </w:r>
      <w:r>
        <w:fldChar w:fldCharType="separate"/>
      </w:r>
      <w:r>
        <w:t>MSFPF3001 De-frame artwork</w:t>
      </w:r>
      <w:r>
        <w:fldChar w:fldCharType="end"/>
      </w:r>
    </w:p>
    <w:p w:rsidR="009E2587" w:rsidP="009E2587">
      <w:pPr>
        <w:pStyle w:val="Version"/>
        <w:sectPr w:rsidSect="00894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C2F" w:rsidP="00894C2F">
      <w:pPr>
        <w:pStyle w:val="SuperHeading"/>
      </w:pPr>
      <w:r w:rsidRPr="00894C2F">
        <w:t>MSFPF3001 De-frame artwork</w:t>
      </w:r>
    </w:p>
    <w:p w:rsidR="00000000" w:rsidRPr="00894C2F" w:rsidP="00894C2F">
      <w:pPr>
        <w:pStyle w:val="Heading1"/>
      </w:pPr>
      <w:bookmarkStart w:id="1" w:name="O_626395"/>
      <w:bookmarkEnd w:id="1"/>
      <w:r w:rsidRPr="00894C2F">
        <w:t>Modification History</w:t>
      </w:r>
    </w:p>
    <w:p w:rsidR="00000000" w:rsidRPr="00894C2F" w:rsidP="00894C2F">
      <w:pPr>
        <w:pStyle w:val="BodyText"/>
      </w:pPr>
      <w:r w:rsidRPr="00894C2F">
        <w:t>Release 1 - New unit of competency</w:t>
      </w:r>
    </w:p>
    <w:p w:rsidR="00000000" w:rsidRPr="00894C2F" w:rsidP="00894C2F">
      <w:pPr>
        <w:pStyle w:val="AllowPageBreak"/>
      </w:pPr>
    </w:p>
    <w:p w:rsidR="00000000" w:rsidRPr="00894C2F" w:rsidP="00894C2F">
      <w:pPr>
        <w:pStyle w:val="Heading1"/>
      </w:pPr>
      <w:bookmarkStart w:id="2" w:name="O_626403"/>
      <w:bookmarkEnd w:id="2"/>
      <w:r w:rsidRPr="00894C2F">
        <w:t>Application</w:t>
      </w:r>
    </w:p>
    <w:p w:rsidR="00000000" w:rsidRPr="00894C2F" w:rsidP="00894C2F">
      <w:pPr>
        <w:pStyle w:val="BodyText"/>
      </w:pPr>
      <w:r w:rsidRPr="00894C2F">
        <w:t>This unit of competency covers dismantling and removing the frame from artwork, including memorabilia, and analysing its documentation and taking client instructions before undertaking the wor</w:t>
      </w:r>
      <w:r w:rsidRPr="00894C2F">
        <w:t>k.</w:t>
      </w:r>
    </w:p>
    <w:p w:rsidR="00000000" w:rsidRPr="00894C2F" w:rsidP="00894C2F">
      <w:pPr>
        <w:pStyle w:val="BodyText"/>
      </w:pPr>
    </w:p>
    <w:p w:rsidR="00000000" w:rsidRPr="00894C2F" w:rsidP="00894C2F">
      <w:pPr>
        <w:pStyle w:val="BodyText"/>
      </w:pPr>
      <w:r w:rsidRPr="00894C2F">
        <w:t>No licensing, legislative or certification requirements apply to this unit at the time of publication.</w:t>
      </w:r>
    </w:p>
    <w:p w:rsidR="00000000" w:rsidRPr="00894C2F" w:rsidP="00894C2F">
      <w:pPr>
        <w:pStyle w:val="AllowPageBreak"/>
      </w:pPr>
    </w:p>
    <w:p w:rsidR="00000000" w:rsidRPr="00894C2F" w:rsidP="00894C2F">
      <w:pPr>
        <w:pStyle w:val="Heading1"/>
      </w:pPr>
      <w:bookmarkStart w:id="3" w:name="O_626402"/>
      <w:bookmarkEnd w:id="3"/>
      <w:r w:rsidRPr="00894C2F">
        <w:t>Pre-requisite Unit</w:t>
      </w:r>
    </w:p>
    <w:p w:rsidR="00000000" w:rsidRPr="00894C2F" w:rsidP="00894C2F">
      <w:pPr>
        <w:pStyle w:val="Heading1"/>
      </w:pPr>
      <w:bookmarkStart w:id="4" w:name="O_626401"/>
      <w:bookmarkEnd w:id="4"/>
      <w:r w:rsidRPr="00894C2F">
        <w:t>Competency Field</w:t>
      </w:r>
    </w:p>
    <w:p w:rsidR="00000000" w:rsidRPr="00894C2F" w:rsidP="00894C2F">
      <w:pPr>
        <w:pStyle w:val="Heading1"/>
      </w:pPr>
      <w:bookmarkStart w:id="5" w:name="O_626400"/>
      <w:bookmarkEnd w:id="5"/>
      <w:r w:rsidRPr="00894C2F">
        <w:t>Unit Sector</w:t>
      </w:r>
    </w:p>
    <w:p w:rsidR="00000000" w:rsidRPr="00894C2F" w:rsidP="00894C2F">
      <w:pPr>
        <w:pStyle w:val="BodyText"/>
      </w:pPr>
      <w:r w:rsidRPr="00894C2F">
        <w:t>Picture Framing</w:t>
      </w:r>
    </w:p>
    <w:p w:rsidR="00000000" w:rsidRPr="00894C2F" w:rsidP="00894C2F">
      <w:pPr>
        <w:pStyle w:val="AllowPageBreak"/>
      </w:pPr>
    </w:p>
    <w:p w:rsidR="00000000" w:rsidRPr="00894C2F" w:rsidP="00894C2F">
      <w:pPr>
        <w:pStyle w:val="Heading1"/>
      </w:pPr>
      <w:bookmarkStart w:id="6" w:name="O_626399"/>
      <w:bookmarkEnd w:id="6"/>
      <w:r w:rsidRPr="00894C2F">
        <w:t>Elements and Perfor</w:t>
      </w:r>
      <w:r w:rsidRPr="00894C2F">
        <w:t>mance Criteria</w:t>
      </w:r>
    </w:p>
    <w:tbl>
      <w:tblPr>
        <w:tblW w:w="9286" w:type="dxa"/>
        <w:tblLayout w:type="fixed"/>
        <w:tblCellMar>
          <w:left w:w="62" w:type="dxa"/>
          <w:right w:w="62" w:type="dxa"/>
        </w:tblCellMar>
        <w:tblLook w:val="0000"/>
      </w:tblPr>
      <w:tblGrid>
        <w:gridCol w:w="630"/>
        <w:gridCol w:w="2129"/>
        <w:gridCol w:w="661"/>
        <w:gridCol w:w="5866"/>
      </w:tblGrid>
      <w:tr w:rsidTr="00894C2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Performance criteria describe the performance needed to demonstrate achievement of the element.</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1</w:t>
            </w:r>
          </w:p>
        </w:tc>
        <w:tc>
          <w:tcPr>
            <w:tcW w:w="2129"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Prepare for work</w:t>
            </w: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1.1</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Work instructions and discussion with the client are used to identify the reasons for de-framing the item, and parts of the framed item or the original framing materials that are to be retained</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1.2</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Work health and safety (WHS) requirements, including pe</w:t>
            </w:r>
            <w:r w:rsidRPr="00894C2F">
              <w:t>rsonal protection needs, are observed throughout the work</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1.3</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Frame is examined to identify its composition, condition and type of construction, production techniques, fixing and fasteners used and de-framing and restoration procedures</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1.4</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 xml:space="preserve">Tools and equipment are selected to match construction and fastener type and checked prior to use to ensure that they are appropriate for the work in terms of quality, </w:t>
            </w:r>
            <w:r w:rsidRPr="00894C2F">
              <w:t>serviceability and safety</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1.5</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Safe and suitable work area is selected/prepared to de-</w:t>
            </w:r>
            <w:r w:rsidRPr="00894C2F">
              <w:t>frame, sort and protect the items</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1.6</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Dismantling sequence and handling techniques are determined</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2</w:t>
            </w:r>
          </w:p>
        </w:tc>
        <w:tc>
          <w:tcPr>
            <w:tcW w:w="2129"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De-frame artwork</w:t>
            </w: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2.1</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Original frame assembly is dismantled to the extent required in the work instructions using appropriate tools and procedures</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2.2</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Labels, fasteners and attachments are removed and stored</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2.3</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Components are separated, protected, tagged and stored following workplace procedures</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2.4</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Condition of de-framed object is examined and noted for the work order</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2.5</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 xml:space="preserve">Relevant historical </w:t>
            </w:r>
            <w:r w:rsidRPr="00894C2F">
              <w:t>information is collated and filed</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3</w:t>
            </w:r>
          </w:p>
        </w:tc>
        <w:tc>
          <w:tcPr>
            <w:tcW w:w="2129"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Clean work area and complete operations</w:t>
            </w: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3.1</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Equipment is cleaned, inspected for serviceable condition and stored appropriately</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3.2</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Equipment faults are identified, tagged and reported to appropriate personnel</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3.3</w:t>
            </w:r>
          </w:p>
        </w:tc>
        <w:tc>
          <w:tcPr>
            <w:tcW w:w="5866"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Work area is cleaned and rubbish disposed of as appropriate</w:t>
            </w:r>
          </w:p>
        </w:tc>
      </w:tr>
      <w:tr w:rsidTr="00894C2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3.4</w:t>
            </w:r>
          </w:p>
        </w:tc>
        <w:tc>
          <w:tcPr>
            <w:tcW w:w="5866" w:type="dxa"/>
            <w:tcBorders>
              <w:top w:val="nil"/>
              <w:left w:val="nil"/>
              <w:bottom w:val="nil"/>
              <w:right w:val="nil"/>
            </w:tcBorders>
            <w:tcMar>
              <w:top w:w="0" w:type="dxa"/>
              <w:left w:w="62" w:type="dxa"/>
              <w:bottom w:w="0" w:type="dxa"/>
              <w:right w:w="62" w:type="dxa"/>
            </w:tcMar>
          </w:tcPr>
          <w:p w:rsidR="00000000" w:rsidRPr="00894C2F" w:rsidP="00894C2F">
            <w:pPr>
              <w:pStyle w:val="BodyText"/>
            </w:pPr>
            <w:r w:rsidRPr="00894C2F">
              <w:t>Workplace documentation is completed as required</w:t>
            </w:r>
          </w:p>
        </w:tc>
      </w:tr>
    </w:tbl>
    <w:p w:rsidR="00000000" w:rsidRPr="00894C2F" w:rsidP="00894C2F">
      <w:pPr>
        <w:pStyle w:val="BodyText"/>
      </w:pPr>
    </w:p>
    <w:p w:rsidR="00000000" w:rsidRPr="00894C2F" w:rsidP="00894C2F">
      <w:pPr>
        <w:pStyle w:val="AllowPageBreak"/>
      </w:pPr>
    </w:p>
    <w:p w:rsidR="00000000" w:rsidRPr="00894C2F" w:rsidP="00894C2F">
      <w:pPr>
        <w:pStyle w:val="Heading1"/>
      </w:pPr>
      <w:bookmarkStart w:id="7" w:name="O_626398"/>
      <w:bookmarkEnd w:id="7"/>
      <w:r w:rsidRPr="00894C2F">
        <w:t>Foundation Skills</w:t>
      </w:r>
    </w:p>
    <w:p w:rsidR="00000000" w:rsidRPr="00894C2F" w:rsidP="00894C2F">
      <w:pPr>
        <w:pStyle w:val="BodyText"/>
      </w:pPr>
      <w:r w:rsidRPr="00894C2F">
        <w:t>Foundation skills essential to performance are explicit in the performance criteria of this unit of com</w:t>
      </w:r>
      <w:r w:rsidRPr="00894C2F">
        <w:t>petency. Detail on appropriate performance levels for each furnishing unit of competency in reading, writing, oral communication and numeracy utilising the Australian Core Skills Framework (ACSF) are provided in the Furnishing Training Package Implementati</w:t>
      </w:r>
      <w:r w:rsidRPr="00894C2F">
        <w:t>on Guide.</w:t>
      </w:r>
    </w:p>
    <w:p w:rsidR="00000000" w:rsidRPr="00894C2F" w:rsidP="00894C2F">
      <w:pPr>
        <w:pStyle w:val="AllowPageBreak"/>
      </w:pPr>
    </w:p>
    <w:p w:rsidR="00000000" w:rsidRPr="00894C2F" w:rsidP="00894C2F">
      <w:pPr>
        <w:pStyle w:val="Heading1"/>
      </w:pPr>
      <w:bookmarkStart w:id="8" w:name="O_626397"/>
      <w:bookmarkEnd w:id="8"/>
      <w:r w:rsidRPr="00894C2F">
        <w:t>Range of Conditions</w:t>
      </w:r>
    </w:p>
    <w:tbl>
      <w:tblPr>
        <w:tblW w:w="0" w:type="auto"/>
        <w:tblLayout w:type="fixed"/>
        <w:tblCellMar>
          <w:left w:w="62" w:type="dxa"/>
          <w:right w:w="62" w:type="dxa"/>
        </w:tblCellMar>
        <w:tblLook w:val="0000"/>
      </w:tblPr>
      <w:tblGrid>
        <w:gridCol w:w="2760"/>
        <w:gridCol w:w="6312"/>
      </w:tblGrid>
      <w:tr w:rsidTr="00894C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t xml:space="preserve">Specifies different work environments and conditions that may affect performance. Essential operating conditions that may be present (depending </w:t>
            </w:r>
            <w:r w:rsidRPr="00894C2F">
              <w:t>on the work situation, needs of the candidate, accessibility of the item, and local industry and regional contexts) are included. Range is restricted to essential operating conditions and any other variables essential to the work environment.</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rPr>
                <w:rStyle w:val="SpecialBold"/>
              </w:rPr>
              <w:t>Unit contex</w:t>
            </w:r>
            <w:r w:rsidRPr="00894C2F">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894C2F" w:rsidP="00894C2F">
            <w:pPr>
              <w:pStyle w:val="ListBullet"/>
            </w:pPr>
            <w:r w:rsidRPr="00894C2F">
              <w:t xml:space="preserve">WHS requirements, including legislation, building codes, material safety management systems, hazardous and dangerous goods codes, and local safe operating procedures or equivalent </w:t>
            </w:r>
          </w:p>
          <w:p w:rsidR="00000000" w:rsidRPr="00894C2F" w:rsidP="00894C2F">
            <w:pPr>
              <w:pStyle w:val="ListBullet"/>
            </w:pPr>
            <w:r w:rsidRPr="00894C2F">
              <w:t>work is carried out in accordance with legislative obligations</w:t>
            </w:r>
            <w:r w:rsidRPr="00894C2F">
              <w:t>, environmental legislation, relevant health regulations, manual handling procedures and organisation insurance requirements</w:t>
            </w:r>
          </w:p>
          <w:p w:rsidR="00000000" w:rsidP="00894C2F">
            <w:pPr>
              <w:pStyle w:val="ListBullet"/>
              <w:rPr>
                <w:lang w:val="en-NZ"/>
              </w:rPr>
            </w:pPr>
            <w:r w:rsidRPr="00894C2F">
              <w:t xml:space="preserve">work requires individuals to demonstrate some discretion, judgement and problem solving </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rPr>
                <w:rStyle w:val="SpecialBold"/>
              </w:rPr>
              <w:t>Artwork for de-framing includes:</w:t>
            </w:r>
          </w:p>
        </w:tc>
        <w:tc>
          <w:tcPr>
            <w:tcW w:w="6312" w:type="dxa"/>
            <w:tcBorders>
              <w:top w:val="nil"/>
              <w:left w:val="nil"/>
              <w:bottom w:val="nil"/>
              <w:right w:val="nil"/>
            </w:tcBorders>
            <w:tcMar>
              <w:top w:w="0" w:type="dxa"/>
              <w:left w:w="62" w:type="dxa"/>
              <w:bottom w:w="0" w:type="dxa"/>
              <w:right w:w="62" w:type="dxa"/>
            </w:tcMar>
          </w:tcPr>
          <w:p w:rsidR="00000000" w:rsidRPr="00894C2F" w:rsidP="00894C2F">
            <w:pPr>
              <w:pStyle w:val="ListBullet"/>
            </w:pPr>
            <w:r w:rsidRPr="00894C2F">
              <w:t xml:space="preserve">original artwork </w:t>
            </w:r>
          </w:p>
          <w:p w:rsidR="00000000" w:rsidRPr="00894C2F" w:rsidP="00894C2F">
            <w:pPr>
              <w:pStyle w:val="ListBullet"/>
            </w:pPr>
            <w:r w:rsidRPr="00894C2F">
              <w:t>reproductions</w:t>
            </w:r>
          </w:p>
          <w:p w:rsidR="00000000" w:rsidRPr="00894C2F" w:rsidP="00894C2F">
            <w:pPr>
              <w:pStyle w:val="ListBullet"/>
            </w:pPr>
            <w:r w:rsidRPr="00894C2F">
              <w:t xml:space="preserve">photographs </w:t>
            </w:r>
          </w:p>
          <w:p w:rsidR="00000000" w:rsidRPr="00894C2F" w:rsidP="00894C2F">
            <w:pPr>
              <w:pStyle w:val="ListBullet"/>
            </w:pPr>
            <w:r w:rsidRPr="00894C2F">
              <w:t xml:space="preserve">documents </w:t>
            </w:r>
          </w:p>
          <w:p w:rsidR="00000000" w:rsidRPr="00894C2F" w:rsidP="00894C2F">
            <w:pPr>
              <w:pStyle w:val="ListBullet"/>
            </w:pPr>
            <w:r w:rsidRPr="00894C2F">
              <w:t>three-dimensional items</w:t>
            </w:r>
          </w:p>
          <w:p w:rsidR="00000000" w:rsidRPr="00894C2F" w:rsidP="00894C2F">
            <w:pPr>
              <w:pStyle w:val="ListBullet"/>
            </w:pPr>
            <w:r w:rsidRPr="00894C2F">
              <w:t xml:space="preserve">textiles </w:t>
            </w:r>
          </w:p>
          <w:p w:rsidR="00000000" w:rsidRPr="00894C2F" w:rsidP="00894C2F">
            <w:pPr>
              <w:pStyle w:val="ListBullet"/>
            </w:pPr>
            <w:r w:rsidRPr="00894C2F">
              <w:t xml:space="preserve">paper-based artwork </w:t>
            </w:r>
          </w:p>
          <w:p w:rsidR="00000000" w:rsidP="00894C2F">
            <w:pPr>
              <w:pStyle w:val="ListBullet"/>
              <w:rPr>
                <w:lang w:val="en-NZ"/>
              </w:rPr>
            </w:pPr>
            <w:r w:rsidRPr="00894C2F">
              <w:t>canvas artwork</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rPr>
                <w:rStyle w:val="SpecialBold"/>
              </w:rPr>
              <w:t>De-framing artwork includes:</w:t>
            </w:r>
          </w:p>
        </w:tc>
        <w:tc>
          <w:tcPr>
            <w:tcW w:w="6312" w:type="dxa"/>
            <w:tcBorders>
              <w:top w:val="nil"/>
              <w:left w:val="nil"/>
              <w:bottom w:val="nil"/>
              <w:right w:val="nil"/>
            </w:tcBorders>
            <w:tcMar>
              <w:top w:w="0" w:type="dxa"/>
              <w:left w:w="62" w:type="dxa"/>
              <w:bottom w:w="0" w:type="dxa"/>
              <w:right w:w="62" w:type="dxa"/>
            </w:tcMar>
          </w:tcPr>
          <w:p w:rsidR="00000000" w:rsidP="00894C2F">
            <w:pPr>
              <w:pStyle w:val="ListBullet"/>
              <w:rPr>
                <w:lang w:val="en-NZ"/>
              </w:rPr>
            </w:pPr>
            <w:r w:rsidRPr="00894C2F">
              <w:t>removing the frame from artwork for the purposes of repair, restoration or re-framing</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rPr>
                <w:rStyle w:val="SpecialBold"/>
              </w:rPr>
              <w:t>Mounting met</w:t>
            </w:r>
            <w:r w:rsidRPr="00894C2F">
              <w:rPr>
                <w:rStyle w:val="SpecialBold"/>
              </w:rPr>
              <w:t>hods include:</w:t>
            </w:r>
          </w:p>
        </w:tc>
        <w:tc>
          <w:tcPr>
            <w:tcW w:w="6312" w:type="dxa"/>
            <w:tcBorders>
              <w:top w:val="nil"/>
              <w:left w:val="nil"/>
              <w:bottom w:val="nil"/>
              <w:right w:val="nil"/>
            </w:tcBorders>
            <w:tcMar>
              <w:top w:w="0" w:type="dxa"/>
              <w:left w:w="62" w:type="dxa"/>
              <w:bottom w:w="0" w:type="dxa"/>
              <w:right w:w="62" w:type="dxa"/>
            </w:tcMar>
          </w:tcPr>
          <w:p w:rsidR="00000000" w:rsidRPr="00894C2F" w:rsidP="00894C2F">
            <w:pPr>
              <w:pStyle w:val="ListBullet"/>
            </w:pPr>
            <w:r w:rsidRPr="00894C2F">
              <w:t>hinging</w:t>
            </w:r>
          </w:p>
          <w:p w:rsidR="00000000" w:rsidP="00894C2F">
            <w:pPr>
              <w:pStyle w:val="ListBullet"/>
              <w:rPr>
                <w:lang w:val="en-NZ"/>
              </w:rPr>
            </w:pPr>
            <w:r w:rsidRPr="00894C2F">
              <w:t>lacing and direct mounting</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94C2F" w:rsidP="00894C2F">
            <w:pPr>
              <w:pStyle w:val="BodyText"/>
            </w:pPr>
            <w:r w:rsidRPr="00894C2F">
              <w:rPr>
                <w:rStyle w:val="SpecialBold"/>
              </w:rPr>
              <w:t>Frame construction includes:</w:t>
            </w:r>
          </w:p>
          <w:p w:rsidR="00000000" w:rsidP="00894C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94C2F" w:rsidP="00894C2F">
            <w:pPr>
              <w:pStyle w:val="ListBullet"/>
            </w:pPr>
            <w:r w:rsidRPr="00894C2F">
              <w:t>timber</w:t>
            </w:r>
          </w:p>
          <w:p w:rsidR="00000000" w:rsidRPr="00894C2F" w:rsidP="00894C2F">
            <w:pPr>
              <w:pStyle w:val="ListBullet"/>
            </w:pPr>
            <w:r w:rsidRPr="00894C2F">
              <w:t>metal/alloys extrusion</w:t>
            </w:r>
          </w:p>
          <w:p w:rsidR="00000000" w:rsidRPr="00894C2F" w:rsidP="00894C2F">
            <w:pPr>
              <w:pStyle w:val="ListBullet"/>
            </w:pPr>
            <w:r w:rsidRPr="00894C2F">
              <w:t>composite construction and other frame material</w:t>
            </w:r>
          </w:p>
          <w:p w:rsidR="00000000" w:rsidRPr="00894C2F" w:rsidP="00894C2F">
            <w:pPr>
              <w:pStyle w:val="ListBullet"/>
            </w:pPr>
            <w:r w:rsidRPr="00894C2F">
              <w:t>paper</w:t>
            </w:r>
          </w:p>
          <w:p w:rsidR="00000000" w:rsidRPr="00894C2F" w:rsidP="00894C2F">
            <w:pPr>
              <w:pStyle w:val="ListBullet"/>
            </w:pPr>
            <w:r w:rsidRPr="00894C2F">
              <w:t>cardboard</w:t>
            </w:r>
          </w:p>
          <w:p w:rsidR="00000000" w:rsidRPr="00894C2F" w:rsidP="00894C2F">
            <w:pPr>
              <w:pStyle w:val="ListBullet"/>
            </w:pPr>
            <w:r w:rsidRPr="00894C2F">
              <w:t>fabric</w:t>
            </w:r>
          </w:p>
          <w:p w:rsidR="00000000" w:rsidRPr="00894C2F" w:rsidP="00894C2F">
            <w:pPr>
              <w:pStyle w:val="ListBullet"/>
            </w:pPr>
            <w:r w:rsidRPr="00894C2F">
              <w:t>mat board</w:t>
            </w:r>
          </w:p>
          <w:p w:rsidR="00000000" w:rsidRPr="00894C2F" w:rsidP="00894C2F">
            <w:pPr>
              <w:pStyle w:val="ListBullet"/>
            </w:pPr>
            <w:r w:rsidRPr="00894C2F">
              <w:t xml:space="preserve">backing material </w:t>
            </w:r>
          </w:p>
          <w:p w:rsidR="00000000" w:rsidP="00894C2F">
            <w:pPr>
              <w:pStyle w:val="ListBullet"/>
              <w:rPr>
                <w:lang w:val="en-NZ"/>
              </w:rPr>
            </w:pPr>
            <w:r w:rsidRPr="00894C2F">
              <w:t>glass/acrylic</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P="00894C2F">
            <w:pPr>
              <w:pStyle w:val="ListBullet"/>
              <w:rPr>
                <w:lang w:val="en-NZ"/>
              </w:rPr>
            </w:pPr>
            <w:r w:rsidRPr="00894C2F">
              <w:t>clearly recording for reference as frame is dissembled all relevant materials and their positioning</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94C2F" w:rsidP="00894C2F">
            <w:pPr>
              <w:pStyle w:val="BodyText"/>
            </w:pPr>
            <w:r w:rsidRPr="00894C2F">
              <w:rPr>
                <w:rStyle w:val="SpecialBold"/>
              </w:rPr>
              <w:t>Tools and equipment include:</w:t>
            </w:r>
          </w:p>
          <w:p w:rsidR="00000000" w:rsidP="00894C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94C2F" w:rsidP="00894C2F">
            <w:pPr>
              <w:pStyle w:val="ListBullet"/>
            </w:pPr>
            <w:r w:rsidRPr="00894C2F">
              <w:t>hand-operated tools</w:t>
            </w:r>
          </w:p>
          <w:p w:rsidR="00000000" w:rsidRPr="00894C2F" w:rsidP="00894C2F">
            <w:pPr>
              <w:pStyle w:val="ListBullet"/>
            </w:pPr>
            <w:r w:rsidRPr="00894C2F">
              <w:t>cutting blades</w:t>
            </w:r>
          </w:p>
          <w:p w:rsidR="00000000" w:rsidRPr="00894C2F" w:rsidP="00894C2F">
            <w:pPr>
              <w:pStyle w:val="ListBullet"/>
            </w:pPr>
            <w:r w:rsidRPr="00894C2F">
              <w:t>screwdrivers</w:t>
            </w:r>
          </w:p>
          <w:p w:rsidR="00000000" w:rsidRPr="00894C2F" w:rsidP="00894C2F">
            <w:pPr>
              <w:pStyle w:val="ListBullet"/>
            </w:pPr>
            <w:r w:rsidRPr="00894C2F">
              <w:t>pincers</w:t>
            </w:r>
          </w:p>
          <w:p w:rsidR="00000000" w:rsidP="00894C2F">
            <w:pPr>
              <w:pStyle w:val="ListBullet"/>
              <w:rPr>
                <w:lang w:val="en-NZ"/>
              </w:rPr>
            </w:pPr>
            <w:r w:rsidRPr="00894C2F">
              <w:t>pliers and marking out tools</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94C2F" w:rsidP="00894C2F">
            <w:pPr>
              <w:pStyle w:val="BodyText"/>
            </w:pPr>
            <w:r w:rsidRPr="00894C2F">
              <w:rPr>
                <w:rStyle w:val="SpecialBold"/>
              </w:rPr>
              <w:t>Materials include:</w:t>
            </w:r>
          </w:p>
          <w:p w:rsidR="00000000" w:rsidP="00894C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94C2F" w:rsidP="00894C2F">
            <w:pPr>
              <w:pStyle w:val="ListBullet"/>
            </w:pPr>
            <w:r w:rsidRPr="00894C2F">
              <w:t>timber</w:t>
            </w:r>
          </w:p>
          <w:p w:rsidR="00000000" w:rsidRPr="00894C2F" w:rsidP="00894C2F">
            <w:pPr>
              <w:pStyle w:val="ListBullet"/>
            </w:pPr>
            <w:r w:rsidRPr="00894C2F">
              <w:t>metal/allo</w:t>
            </w:r>
            <w:r w:rsidRPr="00894C2F">
              <w:t>ys</w:t>
            </w:r>
          </w:p>
          <w:p w:rsidR="00000000" w:rsidRPr="00894C2F" w:rsidP="00894C2F">
            <w:pPr>
              <w:pStyle w:val="ListBullet"/>
            </w:pPr>
            <w:r w:rsidRPr="00894C2F">
              <w:t>paper</w:t>
            </w:r>
          </w:p>
          <w:p w:rsidR="00000000" w:rsidRPr="00894C2F" w:rsidP="00894C2F">
            <w:pPr>
              <w:pStyle w:val="ListBullet"/>
            </w:pPr>
            <w:r w:rsidRPr="00894C2F">
              <w:t>cardboard</w:t>
            </w:r>
          </w:p>
          <w:p w:rsidR="00000000" w:rsidRPr="00894C2F" w:rsidP="00894C2F">
            <w:pPr>
              <w:pStyle w:val="ListBullet"/>
            </w:pPr>
            <w:r w:rsidRPr="00894C2F">
              <w:t>laminates</w:t>
            </w:r>
          </w:p>
          <w:p w:rsidR="00000000" w:rsidRPr="00894C2F" w:rsidP="00894C2F">
            <w:pPr>
              <w:pStyle w:val="ListBullet"/>
            </w:pPr>
            <w:r w:rsidRPr="00894C2F">
              <w:t>composites</w:t>
            </w:r>
          </w:p>
          <w:p w:rsidR="00000000" w:rsidRPr="00894C2F" w:rsidP="00894C2F">
            <w:pPr>
              <w:pStyle w:val="ListBullet"/>
            </w:pPr>
            <w:r w:rsidRPr="00894C2F">
              <w:t xml:space="preserve">adhesives </w:t>
            </w:r>
          </w:p>
          <w:p w:rsidR="00000000" w:rsidP="00894C2F">
            <w:pPr>
              <w:pStyle w:val="ListBullet"/>
              <w:rPr>
                <w:lang w:val="en-NZ"/>
              </w:rPr>
            </w:pPr>
            <w:r w:rsidRPr="00894C2F">
              <w:t>artwork</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94C2F">
            <w:pPr>
              <w:pStyle w:val="ListBullet"/>
              <w:rPr>
                <w:lang w:val="en-NZ"/>
              </w:rPr>
            </w:pPr>
            <w:r w:rsidRPr="00894C2F">
              <w:t>that prescribed under legislation, regulations and enterprise policies</w:t>
            </w:r>
          </w:p>
        </w:tc>
      </w:tr>
      <w:tr w:rsidTr="00894C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4C2F">
            <w:pPr>
              <w:pStyle w:val="BodyText"/>
              <w:rPr>
                <w:lang w:val="en-NZ"/>
              </w:rPr>
            </w:pPr>
            <w:r w:rsidRPr="00894C2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94C2F" w:rsidP="00894C2F">
            <w:pPr>
              <w:pStyle w:val="ListBullet"/>
            </w:pPr>
            <w:r w:rsidRPr="00894C2F">
              <w:t xml:space="preserve">workplace procedures relating to the use of tools and equipment </w:t>
            </w:r>
          </w:p>
          <w:p w:rsidR="00000000" w:rsidRPr="00894C2F" w:rsidP="00894C2F">
            <w:pPr>
              <w:pStyle w:val="ListBullet"/>
            </w:pPr>
            <w:r w:rsidRPr="00894C2F">
              <w:t xml:space="preserve">work instructions, including job sheets, cutting lists, plans, drawings and designs </w:t>
            </w:r>
          </w:p>
          <w:p w:rsidR="00000000" w:rsidRPr="00894C2F" w:rsidP="00894C2F">
            <w:pPr>
              <w:pStyle w:val="ListBullet"/>
            </w:pPr>
            <w:r w:rsidRPr="00894C2F">
              <w:t xml:space="preserve">workplace procedures relating to reporting and communication </w:t>
            </w:r>
          </w:p>
          <w:p w:rsidR="00000000" w:rsidRPr="00894C2F" w:rsidP="00894C2F">
            <w:pPr>
              <w:pStyle w:val="ListBullet"/>
            </w:pPr>
            <w:r w:rsidRPr="00894C2F">
              <w:t xml:space="preserve">manufacturer specifications and operational </w:t>
            </w:r>
            <w:r w:rsidRPr="00894C2F">
              <w:t>procedures</w:t>
            </w:r>
          </w:p>
        </w:tc>
      </w:tr>
    </w:tbl>
    <w:p w:rsidR="00000000" w:rsidRPr="00894C2F" w:rsidP="00894C2F">
      <w:pPr>
        <w:pStyle w:val="BodyText"/>
      </w:pPr>
    </w:p>
    <w:p w:rsidR="00000000" w:rsidRPr="00894C2F" w:rsidP="00894C2F">
      <w:pPr>
        <w:pStyle w:val="AllowPageBreak"/>
      </w:pPr>
    </w:p>
    <w:p w:rsidR="00000000" w:rsidRPr="00894C2F" w:rsidP="00894C2F">
      <w:pPr>
        <w:pStyle w:val="Heading1"/>
      </w:pPr>
      <w:bookmarkStart w:id="9" w:name="O_626396"/>
      <w:bookmarkEnd w:id="9"/>
      <w:r w:rsidRPr="00894C2F">
        <w:t>Unit Mapping Information</w:t>
      </w:r>
    </w:p>
    <w:p w:rsidR="00000000" w:rsidRPr="00894C2F" w:rsidP="00894C2F">
      <w:pPr>
        <w:pStyle w:val="BodyText"/>
      </w:pPr>
      <w:r w:rsidRPr="00894C2F">
        <w:t>Supersedes and is equivalent to LMFPF3001B Deframe artwork.</w:t>
      </w:r>
    </w:p>
    <w:p w:rsidR="00000000" w:rsidRPr="00894C2F" w:rsidP="00894C2F">
      <w:pPr>
        <w:pStyle w:val="AllowPageBreak"/>
      </w:pPr>
    </w:p>
    <w:p w:rsidR="00000000" w:rsidRPr="00894C2F" w:rsidP="00894C2F">
      <w:pPr>
        <w:pStyle w:val="Heading1"/>
      </w:pPr>
      <w:bookmarkStart w:id="10" w:name="O_626389"/>
      <w:bookmarkEnd w:id="10"/>
      <w:r w:rsidRPr="00894C2F">
        <w:t>Links</w:t>
      </w:r>
    </w:p>
    <w:p w:rsidR="00000000" w:rsidRPr="00894C2F" w:rsidP="00894C2F">
      <w:pPr>
        <w:pStyle w:val="BodyText"/>
      </w:pPr>
      <w:r w:rsidRPr="00894C2F">
        <w:t>Companion Volume implementation guides are found in VETNet - https://vetnet.education.gov.au/Pages/TrainingDocs.aspx?q=0601ab95-583a-4e93-b2d4-cfb27b03ed73</w:t>
      </w:r>
    </w:p>
    <w:p w:rsidR="00000000" w:rsidRPr="00894C2F" w:rsidP="00894C2F"/>
    <w:sectPr w:rsidSect="00894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2F" w:rsidRPr="009E2587" w:rsidP="009E2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87" w:rsidP="00894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2587" w:rsidP="00894C2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2587" w:rsidP="00894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C2F" w:rsidRPr="009E2587" w:rsidP="009E2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87" w:rsidRPr="002D2AF8" w:rsidP="00894C2F">
    <w:pPr>
      <w:pStyle w:val="Header"/>
      <w:framePr w:wrap="around"/>
    </w:pPr>
    <w:r>
      <w:fldChar w:fldCharType="begin"/>
    </w:r>
    <w:r>
      <w:instrText xml:space="preserve"> TITLE   \* MERGEFORMAT </w:instrText>
    </w:r>
    <w:r>
      <w:fldChar w:fldCharType="separate"/>
    </w:r>
    <w:r>
      <w:t>MSFPF3001 De-frame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E2587" w:rsidP="00894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6A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262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C2F"/>
    <w:pPr>
      <w:spacing w:before="360" w:after="60"/>
      <w:outlineLvl w:val="0"/>
    </w:pPr>
    <w:rPr>
      <w:sz w:val="32"/>
    </w:rPr>
  </w:style>
  <w:style w:type="paragraph" w:styleId="Heading2">
    <w:name w:val="heading 2"/>
    <w:basedOn w:val="HeadingBase"/>
    <w:next w:val="BodyText"/>
    <w:link w:val="Heading2Char"/>
    <w:qFormat/>
    <w:rsid w:val="00894C2F"/>
    <w:pPr>
      <w:keepLines/>
      <w:spacing w:before="240" w:after="120"/>
      <w:outlineLvl w:val="1"/>
    </w:pPr>
    <w:rPr>
      <w:sz w:val="28"/>
      <w:szCs w:val="40"/>
    </w:rPr>
  </w:style>
  <w:style w:type="paragraph" w:styleId="Heading3">
    <w:name w:val="heading 3"/>
    <w:basedOn w:val="HeadingBase"/>
    <w:next w:val="BodyText"/>
    <w:link w:val="Heading3Char"/>
    <w:qFormat/>
    <w:rsid w:val="00894C2F"/>
    <w:pPr>
      <w:spacing w:before="180" w:after="120"/>
      <w:outlineLvl w:val="2"/>
    </w:pPr>
    <w:rPr>
      <w:spacing w:val="-10"/>
      <w:kern w:val="32"/>
    </w:rPr>
  </w:style>
  <w:style w:type="paragraph" w:styleId="Heading4">
    <w:name w:val="heading 4"/>
    <w:basedOn w:val="HeadingBase"/>
    <w:next w:val="BodyText"/>
    <w:link w:val="Heading4Char"/>
    <w:qFormat/>
    <w:rsid w:val="00894C2F"/>
    <w:pPr>
      <w:spacing w:before="160" w:after="120"/>
      <w:outlineLvl w:val="3"/>
    </w:pPr>
    <w:rPr>
      <w:sz w:val="22"/>
    </w:rPr>
  </w:style>
  <w:style w:type="paragraph" w:styleId="Heading5">
    <w:name w:val="heading 5"/>
    <w:basedOn w:val="HeadingBase"/>
    <w:next w:val="Normal"/>
    <w:link w:val="Heading5Char"/>
    <w:qFormat/>
    <w:rsid w:val="00894C2F"/>
    <w:pPr>
      <w:spacing w:before="80"/>
      <w:outlineLvl w:val="4"/>
    </w:pPr>
    <w:rPr>
      <w:color w:val="918585"/>
      <w:sz w:val="20"/>
    </w:rPr>
  </w:style>
  <w:style w:type="paragraph" w:styleId="Heading6">
    <w:name w:val="heading 6"/>
    <w:basedOn w:val="HeadingBase"/>
    <w:next w:val="Normal"/>
    <w:link w:val="Heading6Char"/>
    <w:qFormat/>
    <w:rsid w:val="00894C2F"/>
    <w:pPr>
      <w:spacing w:before="60"/>
      <w:outlineLvl w:val="5"/>
    </w:pPr>
    <w:rPr>
      <w:color w:val="918585"/>
      <w:sz w:val="20"/>
    </w:rPr>
  </w:style>
  <w:style w:type="paragraph" w:styleId="Heading7">
    <w:name w:val="heading 7"/>
    <w:basedOn w:val="Normal"/>
    <w:next w:val="Normal"/>
    <w:link w:val="Heading7Char"/>
    <w:qFormat/>
    <w:rsid w:val="00894C2F"/>
    <w:pPr>
      <w:ind w:left="720"/>
      <w:outlineLvl w:val="6"/>
    </w:pPr>
    <w:rPr>
      <w:i/>
    </w:rPr>
  </w:style>
  <w:style w:type="paragraph" w:styleId="Heading8">
    <w:name w:val="heading 8"/>
    <w:basedOn w:val="Normal"/>
    <w:next w:val="Normal"/>
    <w:link w:val="Heading8Char"/>
    <w:qFormat/>
    <w:rsid w:val="00894C2F"/>
    <w:pPr>
      <w:ind w:left="720"/>
      <w:outlineLvl w:val="7"/>
    </w:pPr>
    <w:rPr>
      <w:i/>
    </w:rPr>
  </w:style>
  <w:style w:type="paragraph" w:styleId="Heading9">
    <w:name w:val="heading 9"/>
    <w:basedOn w:val="Normal"/>
    <w:next w:val="Normal"/>
    <w:link w:val="Heading9Char"/>
    <w:qFormat/>
    <w:rsid w:val="00894C2F"/>
    <w:pPr>
      <w:ind w:left="720"/>
      <w:outlineLvl w:val="8"/>
    </w:pPr>
    <w:rPr>
      <w:i/>
    </w:rPr>
  </w:style>
  <w:style w:type="character" w:default="1" w:styleId="DefaultParagraphFont">
    <w:name w:val="Default Paragraph Font"/>
    <w:uiPriority w:val="1"/>
    <w:unhideWhenUsed/>
    <w:rsid w:val="00894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C2F"/>
  </w:style>
  <w:style w:type="character" w:customStyle="1" w:styleId="Heading1Char">
    <w:name w:val="Heading 1 Char"/>
    <w:basedOn w:val="DefaultParagraphFont"/>
    <w:link w:val="Heading1"/>
    <w:rsid w:val="00894C2F"/>
    <w:rPr>
      <w:rFonts w:ascii="Times New Roman" w:eastAsia="Times New Roman" w:hAnsi="Times New Roman" w:cs="Times New Roman"/>
      <w:b/>
      <w:sz w:val="32"/>
      <w:szCs w:val="20"/>
      <w:lang w:eastAsia="en-US"/>
    </w:rPr>
  </w:style>
  <w:style w:type="paragraph" w:styleId="BodyText">
    <w:name w:val="Body Text"/>
    <w:basedOn w:val="Normal"/>
    <w:link w:val="BodyTextChar"/>
    <w:rsid w:val="00894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C2F"/>
    <w:rPr>
      <w:rFonts w:ascii="Times New Roman" w:eastAsia="Times New Roman" w:hAnsi="Times New Roman" w:cs="Times New Roman"/>
      <w:sz w:val="24"/>
      <w:lang w:eastAsia="en-US"/>
    </w:rPr>
  </w:style>
  <w:style w:type="paragraph" w:styleId="ListBullet">
    <w:name w:val="List Bullet"/>
    <w:basedOn w:val="List"/>
    <w:rsid w:val="00894C2F"/>
    <w:pPr>
      <w:numPr>
        <w:numId w:val="12"/>
      </w:numPr>
      <w:tabs>
        <w:tab w:val="clear" w:pos="340"/>
      </w:tabs>
      <w:spacing w:before="40" w:after="40"/>
    </w:pPr>
  </w:style>
  <w:style w:type="character" w:customStyle="1" w:styleId="SpecialBold">
    <w:name w:val="Special Bold"/>
    <w:basedOn w:val="DefaultParagraphFont"/>
    <w:rsid w:val="00894C2F"/>
    <w:rPr>
      <w:b/>
      <w:spacing w:val="0"/>
    </w:rPr>
  </w:style>
  <w:style w:type="paragraph" w:customStyle="1" w:styleId="SuperHeading">
    <w:name w:val="SuperHeading"/>
    <w:basedOn w:val="Normal"/>
    <w:rsid w:val="00894C2F"/>
    <w:pPr>
      <w:spacing w:before="240" w:after="120"/>
      <w:outlineLvl w:val="0"/>
    </w:pPr>
    <w:rPr>
      <w:rFonts w:ascii="Times New Roman" w:hAnsi="Times New Roman"/>
      <w:b/>
      <w:sz w:val="32"/>
    </w:rPr>
  </w:style>
  <w:style w:type="paragraph" w:customStyle="1" w:styleId="AllowPageBreak">
    <w:name w:val="AllowPageBreak"/>
    <w:rsid w:val="00894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C2F"/>
    <w:rPr>
      <w:rFonts w:ascii="Courier New" w:eastAsia="Times New Roman" w:hAnsi="Courier New" w:cs="Times New Roman"/>
      <w:i/>
      <w:szCs w:val="20"/>
      <w:lang w:eastAsia="en-US"/>
    </w:rPr>
  </w:style>
  <w:style w:type="paragraph" w:customStyle="1" w:styleId="HeadingBase">
    <w:name w:val="Heading Base"/>
    <w:rsid w:val="00894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C2F"/>
    <w:pPr>
      <w:tabs>
        <w:tab w:val="right" w:leader="dot" w:pos="9072"/>
      </w:tabs>
      <w:ind w:left="567"/>
    </w:pPr>
    <w:rPr>
      <w:szCs w:val="22"/>
    </w:rPr>
  </w:style>
  <w:style w:type="paragraph" w:customStyle="1" w:styleId="TOCBase">
    <w:name w:val="TOC Base"/>
    <w:rsid w:val="00894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C2F"/>
    <w:pPr>
      <w:tabs>
        <w:tab w:val="right" w:leader="dot" w:pos="9072"/>
      </w:tabs>
      <w:spacing w:before="40" w:after="40"/>
      <w:ind w:left="284"/>
    </w:pPr>
    <w:rPr>
      <w:rFonts w:ascii="Times New Roman" w:hAnsi="Times New Roman"/>
    </w:rPr>
  </w:style>
  <w:style w:type="paragraph" w:styleId="TOC1">
    <w:name w:val="toc 1"/>
    <w:basedOn w:val="TOCBase"/>
    <w:next w:val="Normal"/>
    <w:rsid w:val="00894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C2F"/>
    <w:rPr>
      <w:rFonts w:ascii="Times New Roman" w:eastAsia="Times New Roman" w:hAnsi="Times New Roman" w:cs="Times New Roman"/>
      <w:sz w:val="16"/>
      <w:lang w:eastAsia="en-US"/>
    </w:rPr>
  </w:style>
  <w:style w:type="paragraph" w:styleId="Title">
    <w:name w:val="Title"/>
    <w:basedOn w:val="HeadingBase"/>
    <w:link w:val="TitleChar"/>
    <w:qFormat/>
    <w:rsid w:val="00894C2F"/>
    <w:pPr>
      <w:spacing w:before="5040"/>
      <w:jc w:val="center"/>
    </w:pPr>
    <w:rPr>
      <w:sz w:val="48"/>
      <w:szCs w:val="72"/>
      <w:lang w:val="en-US"/>
    </w:rPr>
  </w:style>
  <w:style w:type="character" w:customStyle="1" w:styleId="TitleChar">
    <w:name w:val="Title Char"/>
    <w:basedOn w:val="DefaultParagraphFont"/>
    <w:link w:val="Title"/>
    <w:rsid w:val="00894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C2F"/>
    <w:pPr>
      <w:tabs>
        <w:tab w:val="left" w:pos="3600"/>
        <w:tab w:val="left" w:pos="3958"/>
      </w:tabs>
    </w:pPr>
  </w:style>
  <w:style w:type="paragraph" w:styleId="List">
    <w:name w:val="List"/>
    <w:basedOn w:val="BodyText"/>
    <w:next w:val="BodyText"/>
    <w:rsid w:val="00894C2F"/>
    <w:pPr>
      <w:tabs>
        <w:tab w:val="left" w:pos="340"/>
      </w:tabs>
      <w:spacing w:before="60" w:after="60"/>
      <w:ind w:left="340" w:hanging="340"/>
    </w:pPr>
  </w:style>
  <w:style w:type="paragraph" w:customStyle="1" w:styleId="Note">
    <w:name w:val="Note"/>
    <w:basedOn w:val="BodyText"/>
    <w:rsid w:val="00894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C2F"/>
    <w:pPr>
      <w:framePr w:wrap="auto" w:hAnchor="text" w:y="6049"/>
    </w:pPr>
    <w:rPr>
      <w:color w:val="000000"/>
      <w:sz w:val="40"/>
    </w:rPr>
  </w:style>
  <w:style w:type="paragraph" w:customStyle="1" w:styleId="TOCTitle">
    <w:name w:val="TOCTitle"/>
    <w:basedOn w:val="Heading1"/>
    <w:rsid w:val="00894C2F"/>
    <w:pPr>
      <w:spacing w:after="240"/>
      <w:jc w:val="center"/>
      <w:outlineLvl w:val="9"/>
    </w:pPr>
    <w:rPr>
      <w:caps/>
    </w:rPr>
  </w:style>
  <w:style w:type="paragraph" w:customStyle="1" w:styleId="Version">
    <w:name w:val="Version"/>
    <w:rsid w:val="00894C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C2F"/>
    <w:pPr>
      <w:numPr>
        <w:numId w:val="13"/>
      </w:numPr>
      <w:tabs>
        <w:tab w:val="clear" w:pos="680"/>
      </w:tabs>
    </w:pPr>
  </w:style>
  <w:style w:type="paragraph" w:styleId="Index1">
    <w:name w:val="index 1"/>
    <w:basedOn w:val="Normal"/>
    <w:next w:val="Normal"/>
    <w:semiHidden/>
    <w:rsid w:val="00894C2F"/>
    <w:pPr>
      <w:keepNext w:val="0"/>
      <w:tabs>
        <w:tab w:val="right" w:pos="4176"/>
      </w:tabs>
      <w:ind w:left="198" w:hanging="198"/>
    </w:pPr>
    <w:rPr>
      <w:rFonts w:ascii="Garamond" w:hAnsi="Garamond"/>
    </w:rPr>
  </w:style>
  <w:style w:type="paragraph" w:styleId="IndexHeading">
    <w:name w:val="index heading"/>
    <w:basedOn w:val="Normal"/>
    <w:next w:val="Index1"/>
    <w:semiHidden/>
    <w:rsid w:val="00894C2F"/>
    <w:pPr>
      <w:spacing w:before="120" w:after="120"/>
    </w:pPr>
    <w:rPr>
      <w:rFonts w:ascii="Arial" w:hAnsi="Arial"/>
      <w:b/>
      <w:color w:val="918585"/>
      <w:sz w:val="24"/>
    </w:rPr>
  </w:style>
  <w:style w:type="paragraph" w:styleId="Header">
    <w:name w:val="header"/>
    <w:basedOn w:val="Normal"/>
    <w:link w:val="HeaderChar"/>
    <w:rsid w:val="00894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C2F"/>
    <w:rPr>
      <w:rFonts w:ascii="Times New Roman" w:eastAsia="Times New Roman" w:hAnsi="Times New Roman" w:cs="Times New Roman"/>
      <w:sz w:val="16"/>
      <w:szCs w:val="20"/>
      <w:lang w:val="en-GB" w:eastAsia="en-US"/>
    </w:rPr>
  </w:style>
  <w:style w:type="paragraph" w:customStyle="1" w:styleId="Chapter">
    <w:name w:val="Chapter"/>
    <w:basedOn w:val="Normal"/>
    <w:rsid w:val="00894C2F"/>
    <w:pPr>
      <w:spacing w:before="240"/>
    </w:pPr>
    <w:rPr>
      <w:rFonts w:ascii="Times New Roman" w:hAnsi="Times New Roman"/>
      <w:smallCaps/>
      <w:spacing w:val="80"/>
      <w:sz w:val="28"/>
    </w:rPr>
  </w:style>
  <w:style w:type="paragraph" w:customStyle="1" w:styleId="InChapter">
    <w:name w:val="InChapter"/>
    <w:basedOn w:val="Heading3"/>
    <w:rsid w:val="00894C2F"/>
    <w:pPr>
      <w:spacing w:after="240"/>
      <w:outlineLvl w:val="9"/>
    </w:pPr>
    <w:rPr>
      <w:noProof/>
    </w:rPr>
  </w:style>
  <w:style w:type="paragraph" w:styleId="Index2">
    <w:name w:val="index 2"/>
    <w:basedOn w:val="Normal"/>
    <w:next w:val="Normal"/>
    <w:semiHidden/>
    <w:rsid w:val="00894C2F"/>
    <w:pPr>
      <w:tabs>
        <w:tab w:val="right" w:pos="4176"/>
      </w:tabs>
      <w:ind w:left="568" w:hanging="284"/>
    </w:pPr>
    <w:rPr>
      <w:rFonts w:ascii="Garamond" w:hAnsi="Garamond"/>
    </w:rPr>
  </w:style>
  <w:style w:type="paragraph" w:customStyle="1" w:styleId="Byline">
    <w:name w:val="Byline"/>
    <w:rsid w:val="00894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C2F"/>
    <w:pPr>
      <w:tabs>
        <w:tab w:val="clear" w:pos="3600"/>
        <w:tab w:val="clear" w:pos="3958"/>
      </w:tabs>
      <w:jc w:val="right"/>
    </w:pPr>
  </w:style>
  <w:style w:type="character" w:styleId="Emphasis">
    <w:name w:val="Emphasis"/>
    <w:basedOn w:val="DefaultParagraphFont"/>
    <w:qFormat/>
    <w:rsid w:val="00894C2F"/>
    <w:rPr>
      <w:i/>
    </w:rPr>
  </w:style>
  <w:style w:type="paragraph" w:styleId="Caption">
    <w:name w:val="caption"/>
    <w:basedOn w:val="BodyText"/>
    <w:next w:val="Normal"/>
    <w:qFormat/>
    <w:rsid w:val="00894C2F"/>
    <w:pPr>
      <w:framePr w:w="2268" w:hSpace="181" w:vSpace="181" w:wrap="around" w:vAnchor="text" w:hAnchor="page" w:x="1135" w:y="285" w:anchorLock="1"/>
    </w:pPr>
    <w:rPr>
      <w:i/>
    </w:rPr>
  </w:style>
  <w:style w:type="paragraph" w:customStyle="1" w:styleId="MiniTOCTitle">
    <w:name w:val="MiniTOCTitle"/>
    <w:basedOn w:val="Heading4"/>
    <w:rsid w:val="00894C2F"/>
    <w:pPr>
      <w:spacing w:before="240"/>
      <w:outlineLvl w:val="9"/>
    </w:pPr>
    <w:rPr>
      <w:noProof/>
      <w:sz w:val="24"/>
    </w:rPr>
  </w:style>
  <w:style w:type="paragraph" w:customStyle="1" w:styleId="MiniTOCItem">
    <w:name w:val="MiniTOCItem"/>
    <w:basedOn w:val="ListBullet"/>
    <w:rsid w:val="00894C2F"/>
    <w:pPr>
      <w:numPr>
        <w:numId w:val="0"/>
      </w:numPr>
      <w:tabs>
        <w:tab w:val="right" w:leader="dot" w:pos="6521"/>
      </w:tabs>
      <w:spacing w:before="0" w:after="0"/>
    </w:pPr>
  </w:style>
  <w:style w:type="paragraph" w:customStyle="1" w:styleId="TOFTitle">
    <w:name w:val="TOFTitle"/>
    <w:basedOn w:val="TOCTitle"/>
    <w:rsid w:val="00894C2F"/>
  </w:style>
  <w:style w:type="paragraph" w:styleId="TableofFigures">
    <w:name w:val="table of figures"/>
    <w:basedOn w:val="Normal"/>
    <w:next w:val="Normal"/>
    <w:semiHidden/>
    <w:rsid w:val="00894C2F"/>
    <w:pPr>
      <w:tabs>
        <w:tab w:val="right" w:leader="dot" w:pos="9072"/>
      </w:tabs>
      <w:ind w:left="970" w:hanging="403"/>
    </w:pPr>
    <w:rPr>
      <w:rFonts w:ascii="Times New Roman" w:hAnsi="Times New Roman"/>
      <w:b/>
    </w:rPr>
  </w:style>
  <w:style w:type="paragraph" w:styleId="ListNumber">
    <w:name w:val="List Number"/>
    <w:basedOn w:val="List"/>
    <w:rsid w:val="00894C2F"/>
    <w:pPr>
      <w:numPr>
        <w:numId w:val="10"/>
      </w:numPr>
    </w:pPr>
  </w:style>
  <w:style w:type="character" w:customStyle="1" w:styleId="WingdingSymbols">
    <w:name w:val="Wingding Symbols"/>
    <w:rsid w:val="00894C2F"/>
    <w:rPr>
      <w:rFonts w:ascii="Wingdings" w:hAnsi="Wingdings"/>
    </w:rPr>
  </w:style>
  <w:style w:type="paragraph" w:customStyle="1" w:styleId="TableHeading">
    <w:name w:val="Table Heading"/>
    <w:basedOn w:val="HeadingBase"/>
    <w:rsid w:val="00894C2F"/>
    <w:pPr>
      <w:keepLines/>
      <w:pBdr>
        <w:bottom w:val="single" w:sz="6" w:space="1" w:color="918585"/>
      </w:pBdr>
      <w:spacing w:before="240"/>
    </w:pPr>
  </w:style>
  <w:style w:type="character" w:customStyle="1" w:styleId="HotSpot">
    <w:name w:val="HotSpot"/>
    <w:rsid w:val="00894C2F"/>
    <w:rPr>
      <w:color w:val="0033CC"/>
      <w:u w:val="none"/>
    </w:rPr>
  </w:style>
  <w:style w:type="paragraph" w:customStyle="1" w:styleId="BodyTextRight">
    <w:name w:val="Body Text Right"/>
    <w:basedOn w:val="BodyText"/>
    <w:rsid w:val="00894C2F"/>
    <w:pPr>
      <w:spacing w:before="0" w:after="0"/>
      <w:jc w:val="right"/>
    </w:pPr>
  </w:style>
  <w:style w:type="paragraph" w:styleId="Index3">
    <w:name w:val="index 3"/>
    <w:basedOn w:val="ListNumber2"/>
    <w:next w:val="Normal"/>
    <w:semiHidden/>
    <w:rsid w:val="00894C2F"/>
    <w:pPr>
      <w:numPr>
        <w:numId w:val="0"/>
      </w:numPr>
      <w:tabs>
        <w:tab w:val="right" w:leader="dot" w:pos="4176"/>
      </w:tabs>
    </w:pPr>
  </w:style>
  <w:style w:type="paragraph" w:styleId="ListNumber2">
    <w:name w:val="List Number 2"/>
    <w:basedOn w:val="List2"/>
    <w:rsid w:val="00894C2F"/>
    <w:pPr>
      <w:numPr>
        <w:numId w:val="9"/>
      </w:numPr>
      <w:tabs>
        <w:tab w:val="clear" w:pos="1060"/>
      </w:tabs>
    </w:pPr>
  </w:style>
  <w:style w:type="paragraph" w:customStyle="1" w:styleId="MarginNote">
    <w:name w:val="Margin Note"/>
    <w:basedOn w:val="BodyText"/>
    <w:rsid w:val="00894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C2F"/>
    <w:rPr>
      <w:sz w:val="32"/>
    </w:rPr>
  </w:style>
  <w:style w:type="paragraph" w:customStyle="1" w:styleId="HeadingProcedure">
    <w:name w:val="Heading Procedure"/>
    <w:basedOn w:val="HeadingBase"/>
    <w:next w:val="Normal"/>
    <w:rsid w:val="00894C2F"/>
    <w:pPr>
      <w:tabs>
        <w:tab w:val="left" w:pos="0"/>
      </w:tabs>
      <w:spacing w:before="120" w:after="60"/>
    </w:pPr>
    <w:rPr>
      <w:i/>
      <w:color w:val="918585"/>
      <w:sz w:val="22"/>
    </w:rPr>
  </w:style>
  <w:style w:type="paragraph" w:customStyle="1" w:styleId="TableBodyText">
    <w:name w:val="Table Body Text"/>
    <w:basedOn w:val="BodyText"/>
    <w:rsid w:val="00894C2F"/>
    <w:pPr>
      <w:spacing w:before="60" w:after="60"/>
    </w:pPr>
  </w:style>
  <w:style w:type="paragraph" w:styleId="ListContinue">
    <w:name w:val="List Continue"/>
    <w:basedOn w:val="List"/>
    <w:rsid w:val="00894C2F"/>
    <w:pPr>
      <w:ind w:firstLine="0"/>
    </w:pPr>
  </w:style>
  <w:style w:type="paragraph" w:customStyle="1" w:styleId="ListNote">
    <w:name w:val="List Note"/>
    <w:basedOn w:val="List"/>
    <w:rsid w:val="00894C2F"/>
    <w:pPr>
      <w:pBdr>
        <w:top w:val="single" w:sz="6" w:space="2" w:color="918585"/>
        <w:bottom w:val="single" w:sz="6" w:space="2" w:color="918585"/>
      </w:pBdr>
      <w:tabs>
        <w:tab w:val="left" w:pos="1021"/>
      </w:tabs>
      <w:ind w:firstLine="0"/>
    </w:pPr>
  </w:style>
  <w:style w:type="paragraph" w:customStyle="1" w:styleId="Warning">
    <w:name w:val="Warning"/>
    <w:basedOn w:val="BodyText"/>
    <w:rsid w:val="00894C2F"/>
    <w:pPr>
      <w:shd w:val="clear" w:color="auto" w:fill="D9D9D9"/>
      <w:tabs>
        <w:tab w:val="left" w:pos="992"/>
      </w:tabs>
      <w:ind w:left="119" w:right="119"/>
    </w:pPr>
    <w:rPr>
      <w:sz w:val="20"/>
    </w:rPr>
  </w:style>
  <w:style w:type="paragraph" w:customStyle="1" w:styleId="MarginIcons">
    <w:name w:val="Margin Icons"/>
    <w:basedOn w:val="BodyText"/>
    <w:rsid w:val="00894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C2F"/>
    <w:rPr>
      <w:rFonts w:ascii="Courier New" w:hAnsi="Courier New"/>
    </w:rPr>
  </w:style>
  <w:style w:type="paragraph" w:customStyle="1" w:styleId="NoteBullet">
    <w:name w:val="Note Bullet"/>
    <w:basedOn w:val="Note"/>
    <w:rsid w:val="00894C2F"/>
    <w:pPr>
      <w:tabs>
        <w:tab w:val="clear" w:pos="680"/>
      </w:tabs>
      <w:spacing w:before="60" w:after="60"/>
    </w:pPr>
  </w:style>
  <w:style w:type="paragraph" w:customStyle="1" w:styleId="SubHeading2">
    <w:name w:val="SubHeading2"/>
    <w:basedOn w:val="HeadingBase"/>
    <w:rsid w:val="00894C2F"/>
    <w:pPr>
      <w:spacing w:before="240" w:after="60"/>
    </w:pPr>
    <w:rPr>
      <w:sz w:val="20"/>
    </w:rPr>
  </w:style>
  <w:style w:type="paragraph" w:customStyle="1" w:styleId="SubHeading1">
    <w:name w:val="SubHeading1"/>
    <w:basedOn w:val="HeadingBase"/>
    <w:rsid w:val="00894C2F"/>
    <w:pPr>
      <w:spacing w:before="240" w:after="60"/>
    </w:pPr>
    <w:rPr>
      <w:color w:val="918585"/>
      <w:sz w:val="22"/>
    </w:rPr>
  </w:style>
  <w:style w:type="paragraph" w:customStyle="1" w:styleId="SideHeading">
    <w:name w:val="Side Heading"/>
    <w:basedOn w:val="HeadingBase"/>
    <w:rsid w:val="00894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C2F"/>
    <w:pPr>
      <w:tabs>
        <w:tab w:val="num" w:pos="360"/>
      </w:tabs>
    </w:pPr>
  </w:style>
  <w:style w:type="paragraph" w:styleId="PlainText">
    <w:name w:val="Plain Text"/>
    <w:basedOn w:val="Normal"/>
    <w:link w:val="PlainTextChar"/>
    <w:rsid w:val="00894C2F"/>
    <w:rPr>
      <w:sz w:val="20"/>
    </w:rPr>
  </w:style>
  <w:style w:type="character" w:customStyle="1" w:styleId="PlainTextChar">
    <w:name w:val="Plain Text Char"/>
    <w:basedOn w:val="DefaultParagraphFont"/>
    <w:link w:val="PlainText"/>
    <w:rsid w:val="00894C2F"/>
    <w:rPr>
      <w:rFonts w:ascii="Courier New" w:eastAsia="Times New Roman" w:hAnsi="Courier New" w:cs="Times New Roman"/>
      <w:sz w:val="20"/>
      <w:szCs w:val="20"/>
      <w:lang w:eastAsia="en-US"/>
    </w:rPr>
  </w:style>
  <w:style w:type="character" w:customStyle="1" w:styleId="MenuOption">
    <w:name w:val="Menu Option"/>
    <w:basedOn w:val="DefaultParagraphFont"/>
    <w:rsid w:val="00894C2F"/>
    <w:rPr>
      <w:b/>
      <w:smallCaps/>
    </w:rPr>
  </w:style>
  <w:style w:type="paragraph" w:customStyle="1" w:styleId="TableListNumber">
    <w:name w:val="Table List Number"/>
    <w:basedOn w:val="ListNumber"/>
    <w:rsid w:val="00894C2F"/>
    <w:pPr>
      <w:numPr>
        <w:numId w:val="0"/>
      </w:numPr>
    </w:pPr>
  </w:style>
  <w:style w:type="paragraph" w:styleId="TOC4">
    <w:name w:val="toc 4"/>
    <w:basedOn w:val="TOCBase"/>
    <w:next w:val="Normal"/>
    <w:semiHidden/>
    <w:rsid w:val="00894C2F"/>
    <w:pPr>
      <w:tabs>
        <w:tab w:val="right" w:leader="dot" w:pos="9071"/>
      </w:tabs>
      <w:ind w:left="1701"/>
    </w:pPr>
  </w:style>
  <w:style w:type="paragraph" w:customStyle="1" w:styleId="ListAlpha">
    <w:name w:val="List Alpha"/>
    <w:basedOn w:val="List"/>
    <w:rsid w:val="00894C2F"/>
    <w:pPr>
      <w:numPr>
        <w:numId w:val="8"/>
      </w:numPr>
    </w:pPr>
  </w:style>
  <w:style w:type="paragraph" w:customStyle="1" w:styleId="ListAlpha2">
    <w:name w:val="List Alpha 2"/>
    <w:basedOn w:val="List2"/>
    <w:rsid w:val="00894C2F"/>
    <w:pPr>
      <w:numPr>
        <w:numId w:val="7"/>
      </w:numPr>
    </w:pPr>
  </w:style>
  <w:style w:type="paragraph" w:styleId="List2">
    <w:name w:val="List 2"/>
    <w:basedOn w:val="BodyText"/>
    <w:rsid w:val="00894C2F"/>
    <w:pPr>
      <w:tabs>
        <w:tab w:val="left" w:pos="680"/>
      </w:tabs>
      <w:spacing w:before="60" w:after="60"/>
      <w:ind w:left="680" w:hanging="340"/>
    </w:pPr>
  </w:style>
  <w:style w:type="paragraph" w:styleId="List3">
    <w:name w:val="List 3"/>
    <w:basedOn w:val="BodyText"/>
    <w:rsid w:val="00894C2F"/>
    <w:pPr>
      <w:tabs>
        <w:tab w:val="left" w:pos="1021"/>
      </w:tabs>
      <w:spacing w:before="60" w:after="60"/>
      <w:ind w:left="1020" w:hanging="340"/>
    </w:pPr>
  </w:style>
  <w:style w:type="paragraph" w:styleId="List4">
    <w:name w:val="List 4"/>
    <w:basedOn w:val="BodyText"/>
    <w:rsid w:val="00894C2F"/>
    <w:pPr>
      <w:tabs>
        <w:tab w:val="left" w:pos="1361"/>
      </w:tabs>
      <w:spacing w:before="60" w:after="60"/>
      <w:ind w:left="1361" w:hanging="340"/>
    </w:pPr>
  </w:style>
  <w:style w:type="paragraph" w:styleId="List5">
    <w:name w:val="List 5"/>
    <w:basedOn w:val="BodyText"/>
    <w:rsid w:val="00894C2F"/>
    <w:pPr>
      <w:tabs>
        <w:tab w:val="left" w:pos="1701"/>
      </w:tabs>
      <w:spacing w:before="60" w:after="60"/>
      <w:ind w:left="1701" w:hanging="340"/>
    </w:pPr>
  </w:style>
  <w:style w:type="paragraph" w:styleId="ListBullet3">
    <w:name w:val="List Bullet 3"/>
    <w:basedOn w:val="List3"/>
    <w:rsid w:val="00894C2F"/>
    <w:pPr>
      <w:numPr>
        <w:numId w:val="14"/>
      </w:numPr>
      <w:tabs>
        <w:tab w:val="clear" w:pos="1021"/>
      </w:tabs>
      <w:ind w:left="1037" w:hanging="357"/>
    </w:pPr>
  </w:style>
  <w:style w:type="paragraph" w:styleId="ListBullet4">
    <w:name w:val="List Bullet 4"/>
    <w:basedOn w:val="List4"/>
    <w:rsid w:val="00894C2F"/>
    <w:pPr>
      <w:numPr>
        <w:numId w:val="2"/>
      </w:numPr>
      <w:tabs>
        <w:tab w:val="clear" w:pos="1361"/>
      </w:tabs>
    </w:pPr>
  </w:style>
  <w:style w:type="paragraph" w:styleId="ListBullet5">
    <w:name w:val="List Bullet 5"/>
    <w:basedOn w:val="List5"/>
    <w:rsid w:val="00894C2F"/>
    <w:pPr>
      <w:numPr>
        <w:numId w:val="3"/>
      </w:numPr>
    </w:pPr>
  </w:style>
  <w:style w:type="paragraph" w:styleId="ListContinue2">
    <w:name w:val="List Continue 2"/>
    <w:basedOn w:val="List2"/>
    <w:rsid w:val="00894C2F"/>
    <w:pPr>
      <w:ind w:firstLine="0"/>
    </w:pPr>
  </w:style>
  <w:style w:type="paragraph" w:styleId="ListContinue3">
    <w:name w:val="List Continue 3"/>
    <w:basedOn w:val="List3"/>
    <w:rsid w:val="00894C2F"/>
    <w:pPr>
      <w:ind w:left="1021" w:firstLine="0"/>
    </w:pPr>
  </w:style>
  <w:style w:type="paragraph" w:styleId="ListContinue4">
    <w:name w:val="List Continue 4"/>
    <w:basedOn w:val="List4"/>
    <w:rsid w:val="00894C2F"/>
    <w:pPr>
      <w:ind w:firstLine="0"/>
    </w:pPr>
  </w:style>
  <w:style w:type="paragraph" w:styleId="ListContinue5">
    <w:name w:val="List Continue 5"/>
    <w:basedOn w:val="List5"/>
    <w:rsid w:val="00894C2F"/>
    <w:pPr>
      <w:ind w:firstLine="0"/>
    </w:pPr>
  </w:style>
  <w:style w:type="paragraph" w:styleId="ListNumber3">
    <w:name w:val="List Number 3"/>
    <w:basedOn w:val="List3"/>
    <w:rsid w:val="00894C2F"/>
    <w:pPr>
      <w:numPr>
        <w:numId w:val="4"/>
      </w:numPr>
    </w:pPr>
  </w:style>
  <w:style w:type="paragraph" w:styleId="ListNumber4">
    <w:name w:val="List Number 4"/>
    <w:basedOn w:val="List4"/>
    <w:rsid w:val="00894C2F"/>
    <w:pPr>
      <w:numPr>
        <w:numId w:val="5"/>
      </w:numPr>
    </w:pPr>
  </w:style>
  <w:style w:type="paragraph" w:styleId="ListNumber5">
    <w:name w:val="List Number 5"/>
    <w:basedOn w:val="List5"/>
    <w:rsid w:val="00894C2F"/>
    <w:pPr>
      <w:numPr>
        <w:numId w:val="6"/>
      </w:numPr>
    </w:pPr>
  </w:style>
  <w:style w:type="paragraph" w:styleId="BlockText">
    <w:name w:val="Block Text"/>
    <w:basedOn w:val="Normal"/>
    <w:rsid w:val="00894C2F"/>
    <w:pPr>
      <w:spacing w:after="120"/>
      <w:ind w:left="1440" w:right="1440"/>
    </w:pPr>
  </w:style>
  <w:style w:type="character" w:customStyle="1" w:styleId="Subscript">
    <w:name w:val="Subscript"/>
    <w:basedOn w:val="DefaultParagraphFont"/>
    <w:rsid w:val="00894C2F"/>
    <w:rPr>
      <w:sz w:val="16"/>
      <w:vertAlign w:val="subscript"/>
    </w:rPr>
  </w:style>
  <w:style w:type="character" w:customStyle="1" w:styleId="Superscript">
    <w:name w:val="Superscript"/>
    <w:basedOn w:val="DefaultParagraphFont"/>
    <w:rsid w:val="00894C2F"/>
    <w:rPr>
      <w:sz w:val="16"/>
      <w:vertAlign w:val="superscript"/>
    </w:rPr>
  </w:style>
  <w:style w:type="character" w:customStyle="1" w:styleId="Symbols">
    <w:name w:val="Symbols"/>
    <w:basedOn w:val="DefaultParagraphFont"/>
    <w:rsid w:val="00894C2F"/>
    <w:rPr>
      <w:rFonts w:ascii="Symbol" w:hAnsi="Symbol"/>
    </w:rPr>
  </w:style>
  <w:style w:type="character" w:customStyle="1" w:styleId="MenuOptions">
    <w:name w:val="Menu Options"/>
    <w:basedOn w:val="DefaultParagraphFont"/>
    <w:rsid w:val="00894C2F"/>
    <w:rPr>
      <w:rFonts w:ascii="Arial Narrow" w:hAnsi="Arial Narrow"/>
      <w:smallCaps/>
    </w:rPr>
  </w:style>
  <w:style w:type="character" w:customStyle="1" w:styleId="Buttons">
    <w:name w:val="Buttons"/>
    <w:basedOn w:val="DefaultParagraphFont"/>
    <w:rsid w:val="00894C2F"/>
    <w:rPr>
      <w:b/>
    </w:rPr>
  </w:style>
  <w:style w:type="character" w:customStyle="1" w:styleId="Underlined">
    <w:name w:val="Underlined"/>
    <w:basedOn w:val="DefaultParagraphFont"/>
    <w:rsid w:val="00894C2F"/>
    <w:rPr>
      <w:u w:val="single"/>
    </w:rPr>
  </w:style>
  <w:style w:type="paragraph" w:customStyle="1" w:styleId="TableBodyTextRight">
    <w:name w:val="Table Body Text Right"/>
    <w:basedOn w:val="TableBodyText"/>
    <w:rsid w:val="00894C2F"/>
    <w:pPr>
      <w:widowControl w:val="0"/>
      <w:autoSpaceDE w:val="0"/>
      <w:autoSpaceDN w:val="0"/>
      <w:adjustRightInd w:val="0"/>
      <w:jc w:val="right"/>
    </w:pPr>
    <w:rPr>
      <w:rFonts w:cs="Arial"/>
      <w:szCs w:val="18"/>
    </w:rPr>
  </w:style>
  <w:style w:type="paragraph" w:customStyle="1" w:styleId="CopyrightText">
    <w:name w:val="Copyright Text"/>
    <w:basedOn w:val="BodyText"/>
    <w:rsid w:val="00894C2F"/>
    <w:rPr>
      <w:sz w:val="18"/>
    </w:rPr>
  </w:style>
  <w:style w:type="paragraph" w:customStyle="1" w:styleId="BodySmallRight">
    <w:name w:val="Body Small Right"/>
    <w:basedOn w:val="BodyTextRight"/>
    <w:rsid w:val="00894C2F"/>
    <w:rPr>
      <w:sz w:val="18"/>
      <w:szCs w:val="18"/>
    </w:rPr>
  </w:style>
  <w:style w:type="paragraph" w:customStyle="1" w:styleId="MarginEdition">
    <w:name w:val="Margin Edition"/>
    <w:basedOn w:val="MarginNote"/>
    <w:rsid w:val="00894C2F"/>
    <w:pPr>
      <w:spacing w:before="0" w:after="0"/>
    </w:pPr>
    <w:rPr>
      <w:rFonts w:ascii="Times New Roman" w:hAnsi="Times New Roman"/>
      <w:color w:val="999999"/>
    </w:rPr>
  </w:style>
  <w:style w:type="paragraph" w:customStyle="1" w:styleId="Spacer">
    <w:name w:val="Spacer"/>
    <w:basedOn w:val="Normal"/>
    <w:rsid w:val="00894C2F"/>
    <w:rPr>
      <w:sz w:val="2"/>
      <w:szCs w:val="2"/>
    </w:rPr>
  </w:style>
  <w:style w:type="character" w:customStyle="1" w:styleId="Small">
    <w:name w:val="Small"/>
    <w:basedOn w:val="DefaultParagraphFont"/>
    <w:rsid w:val="00894C2F"/>
    <w:rPr>
      <w:sz w:val="16"/>
    </w:rPr>
  </w:style>
  <w:style w:type="paragraph" w:customStyle="1" w:styleId="WideTable">
    <w:name w:val="Wide Table"/>
    <w:basedOn w:val="Normal"/>
    <w:rsid w:val="00894C2F"/>
    <w:pPr>
      <w:ind w:left="-1418"/>
    </w:pPr>
    <w:rPr>
      <w:sz w:val="2"/>
      <w:szCs w:val="2"/>
    </w:rPr>
  </w:style>
  <w:style w:type="character" w:styleId="PageNumber">
    <w:name w:val="page number"/>
    <w:basedOn w:val="DefaultParagraphFont"/>
    <w:rsid w:val="00894C2F"/>
  </w:style>
  <w:style w:type="paragraph" w:styleId="Quote">
    <w:name w:val="Quote"/>
    <w:basedOn w:val="Heading1"/>
    <w:link w:val="QuoteChar"/>
    <w:qFormat/>
    <w:rsid w:val="00894C2F"/>
    <w:rPr>
      <w:b w:val="0"/>
      <w:sz w:val="72"/>
      <w:szCs w:val="72"/>
      <w:lang w:val="en-NZ"/>
    </w:rPr>
  </w:style>
  <w:style w:type="character" w:customStyle="1" w:styleId="QuoteChar">
    <w:name w:val="Quote Char"/>
    <w:basedOn w:val="DefaultParagraphFont"/>
    <w:link w:val="Quote"/>
    <w:rsid w:val="00894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C2F"/>
    <w:pPr>
      <w:pageBreakBefore/>
    </w:pPr>
  </w:style>
  <w:style w:type="paragraph" w:customStyle="1" w:styleId="Border">
    <w:name w:val="Border"/>
    <w:basedOn w:val="Normal"/>
    <w:qFormat/>
    <w:rsid w:val="00894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C2F"/>
    <w:rPr>
      <w:b/>
      <w:bCs/>
      <w:i/>
      <w:iCs/>
      <w:color w:val="auto"/>
    </w:rPr>
  </w:style>
  <w:style w:type="paragraph" w:styleId="IntenseQuote">
    <w:name w:val="Intense Quote"/>
    <w:basedOn w:val="Normal"/>
    <w:next w:val="Normal"/>
    <w:link w:val="IntenseQuoteChar"/>
    <w:uiPriority w:val="30"/>
    <w:qFormat/>
    <w:rsid w:val="00894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C2F"/>
    <w:rPr>
      <w:smallCaps/>
      <w:color w:val="auto"/>
      <w:u w:val="single"/>
    </w:rPr>
  </w:style>
  <w:style w:type="character" w:styleId="IntenseReference">
    <w:name w:val="Intense Reference"/>
    <w:basedOn w:val="DefaultParagraphFont"/>
    <w:uiPriority w:val="32"/>
    <w:qFormat/>
    <w:rsid w:val="00894C2F"/>
    <w:rPr>
      <w:b/>
      <w:bCs/>
      <w:smallCaps/>
      <w:color w:val="auto"/>
      <w:spacing w:val="5"/>
      <w:u w:val="single"/>
    </w:rPr>
  </w:style>
  <w:style w:type="paragraph" w:customStyle="1" w:styleId="2ColumnHeading">
    <w:name w:val="2Column Heading"/>
    <w:basedOn w:val="BodyText"/>
    <w:qFormat/>
    <w:rsid w:val="00894C2F"/>
    <w:pPr>
      <w:spacing w:after="60"/>
      <w:ind w:left="-2268"/>
    </w:pPr>
    <w:rPr>
      <w:b/>
    </w:rPr>
  </w:style>
  <w:style w:type="paragraph" w:customStyle="1" w:styleId="Heading1TOC">
    <w:name w:val="Heading1 TOC"/>
    <w:basedOn w:val="Normal"/>
    <w:qFormat/>
    <w:rsid w:val="00894C2F"/>
    <w:pPr>
      <w:spacing w:before="240" w:after="120"/>
    </w:pPr>
    <w:rPr>
      <w:rFonts w:ascii="Times New Roman" w:hAnsi="Times New Roman"/>
      <w:b/>
      <w:sz w:val="32"/>
    </w:rPr>
  </w:style>
  <w:style w:type="paragraph" w:customStyle="1" w:styleId="Heading2TOC">
    <w:name w:val="Heading2 TOC"/>
    <w:basedOn w:val="Normal"/>
    <w:qFormat/>
    <w:rsid w:val="00894C2F"/>
    <w:pPr>
      <w:spacing w:before="240" w:after="60"/>
    </w:pPr>
    <w:rPr>
      <w:rFonts w:ascii="Times New Roman" w:hAnsi="Times New Roman"/>
      <w:b/>
      <w:sz w:val="28"/>
    </w:rPr>
  </w:style>
  <w:style w:type="character" w:customStyle="1" w:styleId="Underline">
    <w:name w:val="Underline"/>
    <w:basedOn w:val="DefaultParagraphFont"/>
    <w:qFormat/>
    <w:rsid w:val="00894C2F"/>
    <w:rPr>
      <w:u w:val="single"/>
    </w:rPr>
  </w:style>
  <w:style w:type="character" w:customStyle="1" w:styleId="BoldandItalics">
    <w:name w:val="Bold and Italics"/>
    <w:qFormat/>
    <w:rsid w:val="00894C2F"/>
    <w:rPr>
      <w:b/>
      <w:i/>
      <w:u w:val="none"/>
    </w:rPr>
  </w:style>
  <w:style w:type="paragraph" w:styleId="BalloonText">
    <w:name w:val="Balloon Text"/>
    <w:basedOn w:val="Normal"/>
    <w:link w:val="BalloonTextChar"/>
    <w:rsid w:val="00894C2F"/>
    <w:rPr>
      <w:rFonts w:ascii="Tahoma" w:hAnsi="Tahoma" w:cs="Tahoma"/>
      <w:sz w:val="16"/>
      <w:szCs w:val="16"/>
    </w:rPr>
  </w:style>
  <w:style w:type="character" w:customStyle="1" w:styleId="BalloonTextChar">
    <w:name w:val="Balloon Text Char"/>
    <w:basedOn w:val="DefaultParagraphFont"/>
    <w:link w:val="BalloonText"/>
    <w:rsid w:val="00894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C2F"/>
    <w:rPr>
      <w:b/>
      <w:color w:val="660033"/>
      <w:spacing w:val="0"/>
    </w:rPr>
  </w:style>
  <w:style w:type="paragraph" w:customStyle="1" w:styleId="Nameditemlist">
    <w:name w:val="Named item list"/>
    <w:basedOn w:val="BodyText"/>
    <w:qFormat/>
    <w:rsid w:val="00894C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4429</Characters>
  <Application>Microsoft Office Word</Application>
  <DocSecurity>0</DocSecurity>
  <Lines>204</Lines>
  <Paragraphs>111</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MSFPF3001 De-frame artwork</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2016-12-09T04:20:00Z</dcterms:created>
  <dcterms:modified xsi:type="dcterms:W3CDTF">2016-12-09T04:20:00Z</dcterms:modified>
</cp:coreProperties>
</file>