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000" w:rsidP="002E6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MSFPF2013 Cut and handle glazing materials for framing</w:t>
      </w:r>
      <w:r>
        <w:fldChar w:fldCharType="end"/>
      </w:r>
    </w:p>
    <w:p w:rsidR="002E6000" w:rsidP="002E6000">
      <w:pPr>
        <w:pStyle w:val="Version"/>
        <w:sectPr w:rsidSect="00E16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84F" w:rsidP="00E1684F">
      <w:pPr>
        <w:pStyle w:val="SuperHeading"/>
      </w:pPr>
      <w:r w:rsidRPr="00E1684F">
        <w:t>Assessment Requirements for MSFPF2013 Cut and handle glazing materials for framing</w:t>
      </w:r>
    </w:p>
    <w:p w:rsidR="00000000" w:rsidRPr="00E1684F" w:rsidP="00E1684F">
      <w:pPr>
        <w:pStyle w:val="Heading1"/>
      </w:pPr>
      <w:bookmarkStart w:id="1" w:name="O_1007725"/>
      <w:bookmarkEnd w:id="1"/>
      <w:r w:rsidRPr="00E1684F">
        <w:t>Modification History</w:t>
      </w:r>
    </w:p>
    <w:p w:rsidR="00000000" w:rsidRPr="00E1684F" w:rsidP="002E6000">
      <w:pPr>
        <w:pStyle w:val="BodyText"/>
      </w:pPr>
      <w:r w:rsidRPr="00E1684F">
        <w:t>Release 1. Supersedes and is equivalent to MSFPF2006 Cut and handle glazing materials for framing.</w:t>
      </w:r>
    </w:p>
    <w:p w:rsidR="00000000" w:rsidRPr="00E1684F" w:rsidP="00E1684F">
      <w:pPr>
        <w:pStyle w:val="Heading1"/>
      </w:pPr>
      <w:bookmarkStart w:id="2" w:name="O_1007726"/>
      <w:bookmarkEnd w:id="2"/>
      <w:r w:rsidRPr="00E1684F">
        <w:t>Performance Evidence</w:t>
      </w:r>
    </w:p>
    <w:p w:rsidR="00000000" w:rsidRPr="00E1684F" w:rsidP="002E6000">
      <w:pPr>
        <w:pStyle w:val="BodyText"/>
      </w:pPr>
      <w:r w:rsidRPr="00E1684F">
        <w:t>There must be evidence the candidate has completed the tasks outlined in the elements and performance criteria of this unit, and:</w:t>
      </w:r>
    </w:p>
    <w:p w:rsidR="00000000" w:rsidRPr="00E1684F" w:rsidP="00E1684F">
      <w:pPr>
        <w:pStyle w:val="ListBullet"/>
      </w:pPr>
      <w:r w:rsidRPr="00E1684F">
        <w:t xml:space="preserve">set up, prepared for and cut glazing materials: </w:t>
      </w:r>
    </w:p>
    <w:p w:rsidR="00000000" w:rsidRPr="00E1684F" w:rsidP="00E1684F">
      <w:pPr>
        <w:pStyle w:val="ListBullet2"/>
      </w:pPr>
      <w:r w:rsidRPr="00E1684F">
        <w:t>cut 3 pieces of glass of varying size to within 0.5 mm</w:t>
      </w:r>
      <w:r w:rsidRPr="00E1684F">
        <w:t xml:space="preserve"> tolerance (including at least 1 piece of conservation grade glass)</w:t>
      </w:r>
    </w:p>
    <w:p w:rsidR="00000000" w:rsidRPr="00E1684F" w:rsidP="00E1684F">
      <w:pPr>
        <w:pStyle w:val="ListBullet2"/>
      </w:pPr>
      <w:r w:rsidRPr="00E1684F">
        <w:t>cut 3 pieces of acrylic of varying size to within 0.5 mm tolerance</w:t>
      </w:r>
    </w:p>
    <w:p w:rsidR="00000000" w:rsidRPr="00E1684F" w:rsidP="00E1684F">
      <w:pPr>
        <w:pStyle w:val="ListBullet2"/>
      </w:pPr>
      <w:r w:rsidRPr="00E1684F">
        <w:t>cut 2 pieces of oval glass of varying size to within 1.5 mm tolerance</w:t>
      </w:r>
    </w:p>
    <w:p w:rsidR="00000000" w:rsidRPr="00E1684F" w:rsidP="00E1684F">
      <w:pPr>
        <w:pStyle w:val="ListBullet"/>
      </w:pPr>
      <w:r w:rsidRPr="00E1684F">
        <w:t>safely used the following tools and equipment:</w:t>
      </w:r>
    </w:p>
    <w:p w:rsidR="00000000" w:rsidRPr="00E1684F" w:rsidP="00E1684F">
      <w:pPr>
        <w:pStyle w:val="ListBullet2"/>
      </w:pPr>
      <w:r w:rsidRPr="00E1684F">
        <w:t>sa</w:t>
      </w:r>
      <w:r w:rsidRPr="00E1684F">
        <w:t>ws</w:t>
      </w:r>
    </w:p>
    <w:p w:rsidR="00000000" w:rsidRPr="00E1684F" w:rsidP="00E1684F">
      <w:pPr>
        <w:pStyle w:val="ListBullet2"/>
      </w:pPr>
      <w:r w:rsidRPr="00E1684F">
        <w:t>scoring tools</w:t>
      </w:r>
    </w:p>
    <w:p w:rsidR="00000000" w:rsidRPr="00E1684F" w:rsidP="00E1684F">
      <w:pPr>
        <w:pStyle w:val="ListBullet2"/>
      </w:pPr>
      <w:r w:rsidRPr="00E1684F">
        <w:t>speed cutters</w:t>
      </w:r>
    </w:p>
    <w:p w:rsidR="00000000" w:rsidRPr="00E1684F" w:rsidP="00E1684F">
      <w:pPr>
        <w:pStyle w:val="ListBullet2"/>
      </w:pPr>
      <w:r w:rsidRPr="00E1684F">
        <w:t>tungsten wheel glass cutters</w:t>
      </w:r>
    </w:p>
    <w:p w:rsidR="002E6000" w:rsidP="00E1684F">
      <w:pPr>
        <w:pStyle w:val="ListBullet2"/>
      </w:pPr>
      <w:r w:rsidRPr="00E1684F">
        <w:t>wall-mounted glass cutters.</w:t>
      </w:r>
    </w:p>
    <w:p w:rsidR="002E6000" w:rsidP="00E1684F">
      <w:pPr>
        <w:pStyle w:val="ListBullet2"/>
      </w:pPr>
    </w:p>
    <w:p w:rsidR="00000000" w:rsidRPr="00E1684F" w:rsidP="00E1684F">
      <w:pPr>
        <w:pStyle w:val="Heading1"/>
      </w:pPr>
      <w:bookmarkStart w:id="3" w:name="O_1007727"/>
      <w:bookmarkEnd w:id="3"/>
      <w:r w:rsidRPr="00E1684F">
        <w:t>Knowledge Evidence</w:t>
      </w:r>
    </w:p>
    <w:p w:rsidR="00000000" w:rsidRPr="00E1684F" w:rsidP="002E6000">
      <w:pPr>
        <w:pStyle w:val="BodyText"/>
      </w:pPr>
      <w:r w:rsidRPr="00E1684F">
        <w:t>There must be evidence the candidate has knowledge of:</w:t>
      </w:r>
    </w:p>
    <w:p w:rsidR="00000000" w:rsidRPr="00E1684F" w:rsidP="00E1684F">
      <w:pPr>
        <w:pStyle w:val="ListBullet"/>
      </w:pPr>
      <w:r w:rsidRPr="00E1684F">
        <w:t>work flow process for the cutting of glazing materials</w:t>
      </w:r>
    </w:p>
    <w:p w:rsidR="00000000" w:rsidRPr="00E1684F" w:rsidP="00E1684F">
      <w:pPr>
        <w:pStyle w:val="ListBullet"/>
      </w:pPr>
      <w:r w:rsidRPr="00E1684F">
        <w:t>safety considerations and requirements for handling and cutting glazing materials, including personal protective equipment</w:t>
      </w:r>
    </w:p>
    <w:p w:rsidR="00000000" w:rsidRPr="00E1684F" w:rsidP="00E1684F">
      <w:pPr>
        <w:pStyle w:val="ListBullet"/>
      </w:pPr>
      <w:r w:rsidRPr="00E1684F">
        <w:t>potential variations in work order requirements for glazing in relation to glass:</w:t>
      </w:r>
    </w:p>
    <w:p w:rsidR="00000000" w:rsidRPr="00E1684F" w:rsidP="00E1684F">
      <w:pPr>
        <w:pStyle w:val="ListBullet2"/>
      </w:pPr>
      <w:r w:rsidRPr="00E1684F">
        <w:t xml:space="preserve">type </w:t>
      </w:r>
    </w:p>
    <w:p w:rsidR="00000000" w:rsidRPr="00E1684F" w:rsidP="00E1684F">
      <w:pPr>
        <w:pStyle w:val="ListBullet2"/>
      </w:pPr>
      <w:r w:rsidRPr="00E1684F">
        <w:t>thickness</w:t>
      </w:r>
    </w:p>
    <w:p w:rsidR="00000000" w:rsidRPr="00E1684F" w:rsidP="00E1684F">
      <w:pPr>
        <w:pStyle w:val="ListBullet2"/>
      </w:pPr>
      <w:r w:rsidRPr="00E1684F">
        <w:t>colour</w:t>
      </w:r>
    </w:p>
    <w:p w:rsidR="00000000" w:rsidRPr="00E1684F" w:rsidP="00E1684F">
      <w:pPr>
        <w:pStyle w:val="ListBullet"/>
      </w:pPr>
      <w:r w:rsidRPr="00E1684F">
        <w:t>qualities and characterist</w:t>
      </w:r>
      <w:r w:rsidRPr="00E1684F">
        <w:t>ics of glazing materials, including the hazards and handling requirements for:</w:t>
      </w:r>
    </w:p>
    <w:p w:rsidR="00000000" w:rsidRPr="00E1684F" w:rsidP="00E1684F">
      <w:pPr>
        <w:pStyle w:val="ListBullet2"/>
      </w:pPr>
      <w:r w:rsidRPr="00E1684F">
        <w:t>float glass</w:t>
      </w:r>
    </w:p>
    <w:p w:rsidR="00000000" w:rsidRPr="00E1684F" w:rsidP="00E1684F">
      <w:pPr>
        <w:pStyle w:val="ListBullet2"/>
      </w:pPr>
      <w:r w:rsidRPr="00E1684F">
        <w:t>conservation and museum glass</w:t>
      </w:r>
    </w:p>
    <w:p w:rsidR="00000000" w:rsidRPr="00E1684F" w:rsidP="00E1684F">
      <w:pPr>
        <w:pStyle w:val="ListBullet2"/>
      </w:pPr>
      <w:r w:rsidRPr="00E1684F">
        <w:t>specialty glass</w:t>
      </w:r>
    </w:p>
    <w:p w:rsidR="00000000" w:rsidRPr="00E1684F" w:rsidP="00E1684F">
      <w:pPr>
        <w:pStyle w:val="ListBullet2"/>
      </w:pPr>
      <w:r w:rsidRPr="00E1684F">
        <w:t>anti-reflective and non- reflective glass</w:t>
      </w:r>
    </w:p>
    <w:p w:rsidR="00000000" w:rsidRPr="00E1684F" w:rsidP="00E1684F">
      <w:pPr>
        <w:pStyle w:val="ListBullet2"/>
      </w:pPr>
      <w:r w:rsidRPr="00E1684F">
        <w:t>sheet acrylic</w:t>
      </w:r>
    </w:p>
    <w:p w:rsidR="00000000" w:rsidRPr="00E1684F" w:rsidP="00E1684F">
      <w:pPr>
        <w:pStyle w:val="ListBullet2"/>
      </w:pPr>
      <w:r w:rsidRPr="00E1684F">
        <w:t>conservation acrylic</w:t>
      </w:r>
    </w:p>
    <w:p w:rsidR="00000000" w:rsidRPr="00E1684F" w:rsidP="00E1684F">
      <w:pPr>
        <w:pStyle w:val="ListBullet2"/>
      </w:pPr>
      <w:r w:rsidRPr="00E1684F">
        <w:t>mirrors</w:t>
      </w:r>
    </w:p>
    <w:p w:rsidR="00000000" w:rsidRPr="00E1684F" w:rsidP="00E1684F">
      <w:pPr>
        <w:pStyle w:val="ListBullet"/>
      </w:pPr>
      <w:r w:rsidRPr="00E1684F">
        <w:t xml:space="preserve">mathematical procedures for estimation and measurement </w:t>
      </w:r>
    </w:p>
    <w:p w:rsidR="00000000" w:rsidRPr="00E1684F" w:rsidP="00E1684F">
      <w:pPr>
        <w:pStyle w:val="ListBullet"/>
      </w:pPr>
      <w:r w:rsidRPr="00E1684F">
        <w:t>functions, features and safe use of cutting tools and equipment, including specific workplace procedures, manufacturer specifications and defect reporting procedures for:</w:t>
      </w:r>
    </w:p>
    <w:p w:rsidR="00000000" w:rsidRPr="00E1684F" w:rsidP="00E1684F">
      <w:pPr>
        <w:pStyle w:val="ListBullet2"/>
      </w:pPr>
      <w:r w:rsidRPr="00E1684F">
        <w:t>flat felt-covered cutting ta</w:t>
      </w:r>
      <w:r w:rsidRPr="00E1684F">
        <w:t>bles</w:t>
      </w:r>
    </w:p>
    <w:p w:rsidR="00000000" w:rsidRPr="00E1684F" w:rsidP="00E1684F">
      <w:pPr>
        <w:pStyle w:val="ListBullet2"/>
      </w:pPr>
      <w:r w:rsidRPr="00E1684F">
        <w:t>lubricants</w:t>
      </w:r>
    </w:p>
    <w:p w:rsidR="00000000" w:rsidRPr="00E1684F" w:rsidP="00E1684F">
      <w:pPr>
        <w:pStyle w:val="ListBullet2"/>
      </w:pPr>
      <w:r w:rsidRPr="00E1684F">
        <w:t>marking pens or chinagraph pencils</w:t>
      </w:r>
    </w:p>
    <w:p w:rsidR="00000000" w:rsidRPr="00E1684F" w:rsidP="00E1684F">
      <w:pPr>
        <w:pStyle w:val="ListBullet2"/>
      </w:pPr>
      <w:r w:rsidRPr="00E1684F">
        <w:t>saws</w:t>
      </w:r>
    </w:p>
    <w:p w:rsidR="00000000" w:rsidRPr="00E1684F" w:rsidP="00E1684F">
      <w:pPr>
        <w:pStyle w:val="ListBullet2"/>
      </w:pPr>
      <w:r w:rsidRPr="00E1684F">
        <w:t>scoring tools</w:t>
      </w:r>
    </w:p>
    <w:p w:rsidR="00000000" w:rsidRPr="00E1684F" w:rsidP="00E1684F">
      <w:pPr>
        <w:pStyle w:val="ListBullet2"/>
      </w:pPr>
      <w:r w:rsidRPr="00E1684F">
        <w:t>speed cutters</w:t>
      </w:r>
    </w:p>
    <w:p w:rsidR="00000000" w:rsidRPr="00E1684F" w:rsidP="00E1684F">
      <w:pPr>
        <w:pStyle w:val="ListBullet2"/>
      </w:pPr>
      <w:r w:rsidRPr="00E1684F">
        <w:t>T-squares or L-squares</w:t>
      </w:r>
    </w:p>
    <w:p w:rsidR="00000000" w:rsidRPr="00E1684F" w:rsidP="00E1684F">
      <w:pPr>
        <w:pStyle w:val="ListBullet2"/>
      </w:pPr>
      <w:r w:rsidRPr="00E1684F">
        <w:t>tape measures</w:t>
      </w:r>
    </w:p>
    <w:p w:rsidR="00000000" w:rsidRPr="00E1684F" w:rsidP="00E1684F">
      <w:pPr>
        <w:pStyle w:val="ListBullet2"/>
      </w:pPr>
      <w:r w:rsidRPr="00E1684F">
        <w:t>templates</w:t>
      </w:r>
    </w:p>
    <w:p w:rsidR="00000000" w:rsidRPr="00E1684F" w:rsidP="00E1684F">
      <w:pPr>
        <w:pStyle w:val="ListBullet2"/>
      </w:pPr>
      <w:r w:rsidRPr="00E1684F">
        <w:t>tungsten wheel glass cutters</w:t>
      </w:r>
    </w:p>
    <w:p w:rsidR="00000000" w:rsidRPr="00E1684F" w:rsidP="00E1684F">
      <w:pPr>
        <w:pStyle w:val="ListBullet2"/>
      </w:pPr>
      <w:r w:rsidRPr="00E1684F">
        <w:t>wall-mounted glass cutters</w:t>
      </w:r>
    </w:p>
    <w:p w:rsidR="00000000" w:rsidRPr="00E1684F" w:rsidP="00E1684F">
      <w:pPr>
        <w:pStyle w:val="ListBullet"/>
      </w:pPr>
      <w:r w:rsidRPr="00E1684F">
        <w:t>techniques for cutting glazing materials, the types of problems that can occur, and how to respond</w:t>
      </w:r>
    </w:p>
    <w:p w:rsidR="002E6000" w:rsidP="00E1684F">
      <w:pPr>
        <w:pStyle w:val="ListBullet"/>
      </w:pPr>
      <w:r w:rsidRPr="00E1684F">
        <w:t>documentation requirements for identifying and recording work.</w:t>
      </w:r>
    </w:p>
    <w:p w:rsidR="002E6000" w:rsidP="00E1684F">
      <w:pPr>
        <w:pStyle w:val="ListBullet"/>
      </w:pPr>
    </w:p>
    <w:p w:rsidR="00000000" w:rsidRPr="00E1684F" w:rsidP="00E1684F">
      <w:pPr>
        <w:pStyle w:val="Heading1"/>
      </w:pPr>
      <w:bookmarkStart w:id="4" w:name="O_1007728"/>
      <w:bookmarkEnd w:id="4"/>
      <w:r w:rsidRPr="00E1684F">
        <w:t>Assessment Conditions</w:t>
      </w:r>
    </w:p>
    <w:p w:rsidR="00000000" w:rsidRPr="00E1684F" w:rsidP="002E6000">
      <w:pPr>
        <w:pStyle w:val="BodyText"/>
      </w:pPr>
      <w:r w:rsidRPr="00E1684F">
        <w:t xml:space="preserve">Skills must have been demonstrated in the workplace </w:t>
      </w:r>
      <w:r w:rsidRPr="00E1684F">
        <w:t xml:space="preserve">or in a simulated environment that reflects workplace conditions and contingencies. The following conditions must be met for this unit: </w:t>
      </w:r>
    </w:p>
    <w:p w:rsidR="00000000" w:rsidRPr="00E1684F" w:rsidP="00E1684F">
      <w:pPr>
        <w:pStyle w:val="ListBullet"/>
      </w:pPr>
      <w:r w:rsidRPr="00E1684F">
        <w:t xml:space="preserve">use of suitable facilities, equipment and resources, including: </w:t>
      </w:r>
    </w:p>
    <w:p w:rsidR="00000000" w:rsidRPr="00E1684F" w:rsidP="00E1684F">
      <w:pPr>
        <w:pStyle w:val="ListBullet2"/>
      </w:pPr>
      <w:r w:rsidRPr="00E1684F">
        <w:t>workspace equipped with:</w:t>
      </w:r>
    </w:p>
    <w:p w:rsidR="00000000" w:rsidRPr="00E1684F" w:rsidP="00E1684F">
      <w:pPr>
        <w:pStyle w:val="ListBullet3"/>
      </w:pPr>
      <w:r w:rsidRPr="00E1684F">
        <w:t>cutting table, tools and e</w:t>
      </w:r>
      <w:r w:rsidRPr="00E1684F">
        <w:t>quipment as specified in Performance Evidence</w:t>
      </w:r>
    </w:p>
    <w:p w:rsidR="00000000" w:rsidRPr="00E1684F" w:rsidP="00E1684F">
      <w:pPr>
        <w:pStyle w:val="ListBullet3"/>
      </w:pPr>
      <w:r w:rsidRPr="00E1684F">
        <w:t>personal protective equipment</w:t>
      </w:r>
    </w:p>
    <w:p w:rsidR="00000000" w:rsidRPr="00E1684F" w:rsidP="00E1684F">
      <w:pPr>
        <w:pStyle w:val="ListBullet3"/>
      </w:pPr>
      <w:r w:rsidRPr="00E1684F">
        <w:t>glazing materials</w:t>
      </w:r>
    </w:p>
    <w:p w:rsidR="00000000" w:rsidRPr="00E1684F" w:rsidP="00E1684F">
      <w:pPr>
        <w:pStyle w:val="ListBullet2"/>
      </w:pPr>
      <w:r w:rsidRPr="00E1684F">
        <w:t>work orders.</w:t>
      </w:r>
    </w:p>
    <w:p w:rsidR="002E6000" w:rsidP="002E6000">
      <w:pPr>
        <w:pStyle w:val="BodyText"/>
      </w:pPr>
      <w:r w:rsidRPr="00E1684F">
        <w:t>Assessors must satisfy the NVR/AQTF mandatory competency requirements for assessors.</w:t>
      </w:r>
    </w:p>
    <w:p w:rsidR="00000000" w:rsidRPr="00E1684F" w:rsidP="00E1684F">
      <w:pPr>
        <w:pStyle w:val="Heading1"/>
      </w:pPr>
      <w:bookmarkStart w:id="5" w:name="O_1007731"/>
      <w:bookmarkEnd w:id="5"/>
      <w:r w:rsidRPr="00E1684F">
        <w:t>Links</w:t>
      </w:r>
    </w:p>
    <w:p w:rsidR="00000000" w:rsidRPr="00E1684F" w:rsidP="002E6000">
      <w:pPr>
        <w:pStyle w:val="BodyText"/>
      </w:pPr>
      <w:r w:rsidRPr="00E168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7DA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1684F" w:rsidP="00E1684F"/>
    <w:sectPr w:rsidSect="00E16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F" w:rsidRPr="002E6000" w:rsidP="002E6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00" w:rsidP="00E16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000" w:rsidP="00E16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6000" w:rsidP="00E16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84F" w:rsidRPr="002E6000" w:rsidP="002E6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00" w:rsidRPr="002D2AF8" w:rsidP="00E16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MSFPF2013 Cut and handle glazing materials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E6000" w:rsidP="00E16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E7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0C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729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84F"/>
  </w:style>
  <w:style w:type="character" w:customStyle="1" w:styleId="Heading1Char">
    <w:name w:val="Heading 1 Char"/>
    <w:basedOn w:val="DefaultParagraphFont"/>
    <w:link w:val="Heading1"/>
    <w:rsid w:val="00E16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8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8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68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6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84F"/>
    <w:rPr>
      <w:b/>
      <w:spacing w:val="0"/>
    </w:rPr>
  </w:style>
  <w:style w:type="paragraph" w:customStyle="1" w:styleId="SuperTitle">
    <w:name w:val="SuperTitle"/>
    <w:basedOn w:val="Title"/>
    <w:rsid w:val="00E16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8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84F"/>
    <w:rPr>
      <w:i/>
    </w:rPr>
  </w:style>
  <w:style w:type="paragraph" w:styleId="Caption">
    <w:name w:val="caption"/>
    <w:basedOn w:val="BodyText"/>
    <w:next w:val="Normal"/>
    <w:qFormat/>
    <w:rsid w:val="00E16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84F"/>
  </w:style>
  <w:style w:type="paragraph" w:styleId="TableofFigures">
    <w:name w:val="table of figures"/>
    <w:basedOn w:val="Normal"/>
    <w:next w:val="Normal"/>
    <w:semiHidden/>
    <w:rsid w:val="00E16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8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684F"/>
    <w:rPr>
      <w:rFonts w:ascii="Wingdings" w:hAnsi="Wingdings"/>
    </w:rPr>
  </w:style>
  <w:style w:type="paragraph" w:customStyle="1" w:styleId="TableHeading">
    <w:name w:val="Table Heading"/>
    <w:basedOn w:val="HeadingBase"/>
    <w:rsid w:val="00E16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84F"/>
    <w:rPr>
      <w:color w:val="0033CC"/>
      <w:u w:val="none"/>
    </w:rPr>
  </w:style>
  <w:style w:type="paragraph" w:customStyle="1" w:styleId="BodyTextRight">
    <w:name w:val="Body Text Right"/>
    <w:basedOn w:val="BodyText"/>
    <w:rsid w:val="00E16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8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84F"/>
    <w:rPr>
      <w:sz w:val="32"/>
    </w:rPr>
  </w:style>
  <w:style w:type="paragraph" w:customStyle="1" w:styleId="HeadingProcedure">
    <w:name w:val="Heading Procedure"/>
    <w:basedOn w:val="HeadingBase"/>
    <w:next w:val="Normal"/>
    <w:rsid w:val="00E16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84F"/>
    <w:pPr>
      <w:spacing w:before="60" w:after="60"/>
    </w:pPr>
  </w:style>
  <w:style w:type="paragraph" w:styleId="ListContinue">
    <w:name w:val="List Continue"/>
    <w:basedOn w:val="List"/>
    <w:rsid w:val="00E1684F"/>
    <w:pPr>
      <w:ind w:firstLine="0"/>
    </w:pPr>
  </w:style>
  <w:style w:type="paragraph" w:customStyle="1" w:styleId="ListNote">
    <w:name w:val="List Note"/>
    <w:basedOn w:val="List"/>
    <w:rsid w:val="00E16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84F"/>
    <w:rPr>
      <w:rFonts w:ascii="Courier New" w:hAnsi="Courier New"/>
    </w:rPr>
  </w:style>
  <w:style w:type="paragraph" w:customStyle="1" w:styleId="NoteBullet">
    <w:name w:val="Note Bullet"/>
    <w:basedOn w:val="Note"/>
    <w:rsid w:val="00E16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8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6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84F"/>
    <w:rPr>
      <w:b/>
      <w:smallCaps/>
    </w:rPr>
  </w:style>
  <w:style w:type="paragraph" w:customStyle="1" w:styleId="TableListNumber">
    <w:name w:val="Table List Number"/>
    <w:basedOn w:val="ListNumber"/>
    <w:rsid w:val="00E16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84F"/>
    <w:pPr>
      <w:numPr>
        <w:numId w:val="10"/>
      </w:numPr>
    </w:pPr>
  </w:style>
  <w:style w:type="paragraph" w:customStyle="1" w:styleId="ListAlpha2">
    <w:name w:val="List Alpha 2"/>
    <w:basedOn w:val="List2"/>
    <w:rsid w:val="00E1684F"/>
    <w:pPr>
      <w:numPr>
        <w:numId w:val="9"/>
      </w:numPr>
    </w:pPr>
  </w:style>
  <w:style w:type="paragraph" w:styleId="List2">
    <w:name w:val="List 2"/>
    <w:basedOn w:val="BodyText"/>
    <w:rsid w:val="00E16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8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68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684F"/>
    <w:pPr>
      <w:numPr>
        <w:numId w:val="5"/>
      </w:numPr>
    </w:pPr>
  </w:style>
  <w:style w:type="paragraph" w:styleId="ListContinue2">
    <w:name w:val="List Continue 2"/>
    <w:basedOn w:val="List2"/>
    <w:rsid w:val="00E1684F"/>
    <w:pPr>
      <w:ind w:firstLine="0"/>
    </w:pPr>
  </w:style>
  <w:style w:type="paragraph" w:styleId="ListContinue3">
    <w:name w:val="List Continue 3"/>
    <w:basedOn w:val="List3"/>
    <w:rsid w:val="00E1684F"/>
    <w:pPr>
      <w:ind w:left="1021" w:firstLine="0"/>
    </w:pPr>
  </w:style>
  <w:style w:type="paragraph" w:styleId="ListContinue4">
    <w:name w:val="List Continue 4"/>
    <w:basedOn w:val="List4"/>
    <w:rsid w:val="00E1684F"/>
    <w:pPr>
      <w:ind w:firstLine="0"/>
    </w:pPr>
  </w:style>
  <w:style w:type="paragraph" w:styleId="ListContinue5">
    <w:name w:val="List Continue 5"/>
    <w:basedOn w:val="List5"/>
    <w:rsid w:val="00E1684F"/>
    <w:pPr>
      <w:ind w:firstLine="0"/>
    </w:pPr>
  </w:style>
  <w:style w:type="paragraph" w:styleId="ListNumber3">
    <w:name w:val="List Number 3"/>
    <w:basedOn w:val="List3"/>
    <w:rsid w:val="00E1684F"/>
    <w:pPr>
      <w:numPr>
        <w:numId w:val="6"/>
      </w:numPr>
    </w:pPr>
  </w:style>
  <w:style w:type="paragraph" w:styleId="ListNumber4">
    <w:name w:val="List Number 4"/>
    <w:basedOn w:val="List4"/>
    <w:rsid w:val="00E1684F"/>
    <w:pPr>
      <w:numPr>
        <w:numId w:val="7"/>
      </w:numPr>
    </w:pPr>
  </w:style>
  <w:style w:type="paragraph" w:styleId="ListNumber5">
    <w:name w:val="List Number 5"/>
    <w:basedOn w:val="List5"/>
    <w:rsid w:val="00E1684F"/>
    <w:pPr>
      <w:numPr>
        <w:numId w:val="8"/>
      </w:numPr>
    </w:pPr>
  </w:style>
  <w:style w:type="paragraph" w:styleId="BlockText">
    <w:name w:val="Block Text"/>
    <w:basedOn w:val="Normal"/>
    <w:rsid w:val="00E16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84F"/>
    <w:rPr>
      <w:sz w:val="16"/>
      <w:vertAlign w:val="superscript"/>
    </w:rPr>
  </w:style>
  <w:style w:type="character" w:customStyle="1" w:styleId="Symbols">
    <w:name w:val="Symbols"/>
    <w:basedOn w:val="DefaultParagraphFont"/>
    <w:rsid w:val="00E1684F"/>
    <w:rPr>
      <w:rFonts w:ascii="Symbol" w:hAnsi="Symbol"/>
    </w:rPr>
  </w:style>
  <w:style w:type="character" w:customStyle="1" w:styleId="MenuOptions">
    <w:name w:val="Menu Options"/>
    <w:basedOn w:val="DefaultParagraphFont"/>
    <w:rsid w:val="00E16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84F"/>
    <w:rPr>
      <w:b/>
    </w:rPr>
  </w:style>
  <w:style w:type="character" w:customStyle="1" w:styleId="Underlined">
    <w:name w:val="Underlined"/>
    <w:basedOn w:val="DefaultParagraphFont"/>
    <w:rsid w:val="00E1684F"/>
    <w:rPr>
      <w:u w:val="single"/>
    </w:rPr>
  </w:style>
  <w:style w:type="paragraph" w:customStyle="1" w:styleId="TableBodyTextRight">
    <w:name w:val="Table Body Text Right"/>
    <w:basedOn w:val="TableBodyText"/>
    <w:rsid w:val="00E16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84F"/>
    <w:rPr>
      <w:sz w:val="18"/>
    </w:rPr>
  </w:style>
  <w:style w:type="paragraph" w:customStyle="1" w:styleId="BodySmallRight">
    <w:name w:val="Body Small Right"/>
    <w:basedOn w:val="BodyTextRight"/>
    <w:rsid w:val="00E1684F"/>
    <w:rPr>
      <w:sz w:val="18"/>
      <w:szCs w:val="18"/>
    </w:rPr>
  </w:style>
  <w:style w:type="paragraph" w:customStyle="1" w:styleId="MarginEdition">
    <w:name w:val="Margin Edition"/>
    <w:basedOn w:val="MarginNote"/>
    <w:rsid w:val="00E16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84F"/>
    <w:rPr>
      <w:sz w:val="2"/>
      <w:szCs w:val="2"/>
    </w:rPr>
  </w:style>
  <w:style w:type="character" w:customStyle="1" w:styleId="Small">
    <w:name w:val="Small"/>
    <w:basedOn w:val="DefaultParagraphFont"/>
    <w:rsid w:val="00E1684F"/>
    <w:rPr>
      <w:sz w:val="16"/>
    </w:rPr>
  </w:style>
  <w:style w:type="paragraph" w:customStyle="1" w:styleId="WideTable">
    <w:name w:val="Wide Table"/>
    <w:basedOn w:val="Normal"/>
    <w:rsid w:val="00E16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84F"/>
  </w:style>
  <w:style w:type="paragraph" w:styleId="Quote">
    <w:name w:val="Quote"/>
    <w:basedOn w:val="Heading1"/>
    <w:link w:val="QuoteChar"/>
    <w:qFormat/>
    <w:rsid w:val="00E16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84F"/>
    <w:pPr>
      <w:pageBreakBefore/>
    </w:pPr>
  </w:style>
  <w:style w:type="paragraph" w:customStyle="1" w:styleId="Border">
    <w:name w:val="Border"/>
    <w:basedOn w:val="Normal"/>
    <w:qFormat/>
    <w:rsid w:val="00E16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84F"/>
    <w:rPr>
      <w:u w:val="single"/>
    </w:rPr>
  </w:style>
  <w:style w:type="character" w:customStyle="1" w:styleId="BoldandItalics">
    <w:name w:val="Bold and Italics"/>
    <w:qFormat/>
    <w:rsid w:val="00E1684F"/>
    <w:rPr>
      <w:b/>
      <w:i/>
      <w:u w:val="none"/>
    </w:rPr>
  </w:style>
  <w:style w:type="paragraph" w:styleId="BalloonText">
    <w:name w:val="Balloon Text"/>
    <w:basedOn w:val="Normal"/>
    <w:link w:val="BalloonTextChar"/>
    <w:rsid w:val="00E16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84F"/>
    <w:pPr>
      <w:spacing w:before="0" w:after="0"/>
    </w:pPr>
  </w:style>
  <w:style w:type="paragraph" w:customStyle="1" w:styleId="BodyTextBold">
    <w:name w:val="Body Text Bold"/>
    <w:basedOn w:val="BodyText"/>
    <w:qFormat/>
    <w:rsid w:val="00E1684F"/>
    <w:rPr>
      <w:b/>
    </w:rPr>
  </w:style>
  <w:style w:type="character" w:styleId="Hyperlink">
    <w:name w:val="Hyperlink"/>
    <w:basedOn w:val="DefaultParagraphFont"/>
    <w:uiPriority w:val="99"/>
    <w:unhideWhenUsed/>
    <w:rsid w:val="002E6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2552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MSFPF2013 Cut and handle glazing materials for framing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