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337" w:rsidP="00A15337">
      <w:pPr>
        <w:pStyle w:val="Title"/>
      </w:pPr>
      <w:r>
        <w:fldChar w:fldCharType="begin"/>
      </w:r>
      <w:r>
        <w:instrText xml:space="preserve"> TITLE   \* MERGEFORMAT </w:instrText>
      </w:r>
      <w:r>
        <w:fldChar w:fldCharType="separate"/>
      </w:r>
      <w:r>
        <w:t>MSFPF2004 Mount artwork</w:t>
      </w:r>
      <w:r>
        <w:fldChar w:fldCharType="end"/>
      </w:r>
    </w:p>
    <w:p w:rsidR="00A15337" w:rsidP="00A15337">
      <w:pPr>
        <w:pStyle w:val="Version"/>
        <w:sectPr w:rsidSect="006711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1EB" w:rsidP="006711EB">
      <w:pPr>
        <w:pStyle w:val="SuperHeading"/>
      </w:pPr>
      <w:r w:rsidRPr="006711EB">
        <w:t>MSFPF2004 Mount artwork</w:t>
      </w:r>
    </w:p>
    <w:p w:rsidR="00000000" w:rsidRPr="006711EB" w:rsidP="006711EB">
      <w:pPr>
        <w:pStyle w:val="Heading1"/>
      </w:pPr>
      <w:bookmarkStart w:id="1" w:name="O_623294"/>
      <w:bookmarkEnd w:id="1"/>
      <w:r w:rsidRPr="006711EB">
        <w:t>Modification History</w:t>
      </w:r>
    </w:p>
    <w:p w:rsidR="00000000" w:rsidRPr="006711EB" w:rsidP="006711EB">
      <w:pPr>
        <w:pStyle w:val="BodyText"/>
      </w:pPr>
      <w:r w:rsidRPr="006711EB">
        <w:t>Release 1 - New unit of competency</w:t>
      </w:r>
    </w:p>
    <w:p w:rsidR="00000000" w:rsidRPr="006711EB" w:rsidP="006711EB">
      <w:pPr>
        <w:pStyle w:val="AllowPageBreak"/>
      </w:pPr>
    </w:p>
    <w:p w:rsidR="00000000" w:rsidRPr="006711EB" w:rsidP="006711EB">
      <w:pPr>
        <w:pStyle w:val="Heading1"/>
      </w:pPr>
      <w:bookmarkStart w:id="2" w:name="O_623302"/>
      <w:bookmarkEnd w:id="2"/>
      <w:r w:rsidRPr="006711EB">
        <w:t>Application</w:t>
      </w:r>
    </w:p>
    <w:p w:rsidR="00000000" w:rsidRPr="006711EB" w:rsidP="006711EB">
      <w:pPr>
        <w:pStyle w:val="BodyText"/>
      </w:pPr>
      <w:r w:rsidRPr="006711EB">
        <w:t>This unit of competency covers mounting artwork to substrates prior to framing. It includes dry and wet mounting, pressure rolling, laminating and hinging of artwork.</w:t>
      </w:r>
    </w:p>
    <w:p w:rsidR="00000000" w:rsidRPr="006711EB" w:rsidP="006711EB">
      <w:pPr>
        <w:pStyle w:val="BodyText"/>
      </w:pPr>
    </w:p>
    <w:p w:rsidR="00000000" w:rsidRPr="006711EB" w:rsidP="006711EB">
      <w:pPr>
        <w:pStyle w:val="BodyText"/>
      </w:pPr>
      <w:r w:rsidRPr="006711EB">
        <w:t>No licensing, legislativ</w:t>
      </w:r>
      <w:r w:rsidRPr="006711EB">
        <w:t>e or certification requirements apply to this unit at the time of publication.</w:t>
      </w:r>
    </w:p>
    <w:p w:rsidR="00000000" w:rsidRPr="006711EB" w:rsidP="006711EB">
      <w:pPr>
        <w:pStyle w:val="AllowPageBreak"/>
      </w:pPr>
    </w:p>
    <w:p w:rsidR="00000000" w:rsidRPr="006711EB" w:rsidP="006711EB">
      <w:pPr>
        <w:pStyle w:val="Heading1"/>
      </w:pPr>
      <w:bookmarkStart w:id="3" w:name="O_623301"/>
      <w:bookmarkEnd w:id="3"/>
      <w:r w:rsidRPr="006711EB">
        <w:t>Pre-requisite Unit</w:t>
      </w:r>
    </w:p>
    <w:p w:rsidR="00000000" w:rsidRPr="006711EB" w:rsidP="006711EB">
      <w:pPr>
        <w:pStyle w:val="Heading1"/>
      </w:pPr>
      <w:bookmarkStart w:id="4" w:name="O_623300"/>
      <w:bookmarkEnd w:id="4"/>
      <w:r w:rsidRPr="006711EB">
        <w:t>Competency Field</w:t>
      </w:r>
    </w:p>
    <w:p w:rsidR="00000000" w:rsidRPr="006711EB" w:rsidP="006711EB">
      <w:pPr>
        <w:pStyle w:val="Heading1"/>
      </w:pPr>
      <w:bookmarkStart w:id="5" w:name="O_623299"/>
      <w:bookmarkEnd w:id="5"/>
      <w:r w:rsidRPr="006711EB">
        <w:t>Unit Sector</w:t>
      </w:r>
    </w:p>
    <w:p w:rsidR="00000000" w:rsidRPr="006711EB" w:rsidP="006711EB">
      <w:pPr>
        <w:pStyle w:val="BodyText"/>
      </w:pPr>
      <w:r w:rsidRPr="006711EB">
        <w:t>Picture Framing</w:t>
      </w:r>
    </w:p>
    <w:p w:rsidR="00000000" w:rsidRPr="006711EB" w:rsidP="006711EB">
      <w:pPr>
        <w:pStyle w:val="AllowPageBreak"/>
      </w:pPr>
    </w:p>
    <w:p w:rsidR="00000000" w:rsidRPr="006711EB" w:rsidP="006711EB">
      <w:pPr>
        <w:pStyle w:val="Heading1"/>
      </w:pPr>
      <w:bookmarkStart w:id="6" w:name="O_623298"/>
      <w:bookmarkEnd w:id="6"/>
      <w:r w:rsidRPr="006711E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711E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Elements desc</w:t>
            </w:r>
            <w:r w:rsidRPr="006711EB">
              <w:t>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Performance criteria describe the performance needed to demonstrate achievement of the element.</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w:t>
            </w:r>
          </w:p>
        </w:tc>
        <w:tc>
          <w:tcPr>
            <w:tcW w:w="2219"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Prepare for work</w:t>
            </w: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1.1</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Artwork is a</w:t>
            </w:r>
            <w:r w:rsidRPr="006711EB">
              <w:t>ssessed to determine the most appropriate mounting process, including the composition of substrate and fixing materials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1.2</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Work requirements are identified from drawings/specifications/instructions and/or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1.3</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Quality assurance re</w:t>
            </w:r>
            <w:r w:rsidRPr="006711EB">
              <w:t>quirements are identified and observed throughout the process in accordance with industry standards and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1.4</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Work health safety (WHS) requirements, including personal protection needs, are observed throughout the work</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1.5</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 xml:space="preserve">Tools, equipment and materials are selected and checked </w:t>
            </w:r>
            <w:r w:rsidRPr="006711EB">
              <w:t>prior to use to ensure that they are appropriate for the work in terms of quality, serviceability and safety</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1.6</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 xml:space="preserve">Materials required are cut to size and assembled to industry standard and workplace </w:t>
            </w:r>
            <w:r w:rsidRPr="006711EB">
              <w:t>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1.7</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Fixing agents are positioned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2</w:t>
            </w:r>
          </w:p>
        </w:tc>
        <w:tc>
          <w:tcPr>
            <w:tcW w:w="2219"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Dry mount artwork</w:t>
            </w: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2.1</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Mounting equipment is set up according to operating procedures and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2.2</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Artwork is positioned on substrate according to job requirements and placed in mounting press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2.3</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Mounting press is operated in accordance with manufacturer instructions, ensuring correct mounting temperature and/or pressing period</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2.4</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Assembled artw</w:t>
            </w:r>
            <w:r w:rsidRPr="006711EB">
              <w:t>ork is removed from press, inspected for quality and stored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3</w:t>
            </w:r>
          </w:p>
        </w:tc>
        <w:tc>
          <w:tcPr>
            <w:tcW w:w="2219"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Wet mount artwork</w:t>
            </w: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3.1</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Mounting equipment is set up according to operating procedures and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3.2</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Selected adhesive is prepared and applied to the substrate with regard for the type and composition of artwork to be mounted</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3.3</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Artwork is wet mounted to substrate according to job requirements and placed in vacuum press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3.4</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Mounting press is operat</w:t>
            </w:r>
            <w:r w:rsidRPr="006711EB">
              <w:t>ed in accordance with manufacturer instructions, ensuring correct pressing period</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3.5</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Assembled artwork is removed from press, inspected for quality and stored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4</w:t>
            </w:r>
          </w:p>
        </w:tc>
        <w:tc>
          <w:tcPr>
            <w:tcW w:w="2219"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Pressure roller mount artwork</w:t>
            </w: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4.1</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Rolling equipment is set up according to manufacturer instructions and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4.2</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Artwork is laminated using cold film in accordance with job requirements and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4.3</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 xml:space="preserve">Assembled artwork is inspected for quality and stored </w:t>
            </w:r>
            <w:r w:rsidRPr="006711EB">
              <w:t>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5</w:t>
            </w:r>
          </w:p>
        </w:tc>
        <w:tc>
          <w:tcPr>
            <w:tcW w:w="2219"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Laminate artwork</w:t>
            </w: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5.1</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Laminating equipment is set up according to manufacturer instructions and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5.2</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Artwork is laminated in accordance with job requirements and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5.3</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Laminated artwork is inspected for quality and stored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6</w:t>
            </w:r>
          </w:p>
        </w:tc>
        <w:tc>
          <w:tcPr>
            <w:tcW w:w="2219"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Hinge artwork to substrate</w:t>
            </w: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6.1</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Hinging paper/pre-made hinging tape is assessed for compliance with job requirements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6.2</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Starch paste is mixed to correct con</w:t>
            </w:r>
            <w:r w:rsidRPr="006711EB">
              <w:t>sistency and applied in conformance with workplace practices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6.3</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Hinging paper is torn and fixed to artwork and substrate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6.4</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Hinged artwork is inspected for quality and positioned for further processing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7</w:t>
            </w:r>
          </w:p>
        </w:tc>
        <w:tc>
          <w:tcPr>
            <w:tcW w:w="2219"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Complete work</w:t>
            </w: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7.1</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Defective work is reported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7.2</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Scraps and off-cuts are removed for disposa</w:t>
            </w:r>
            <w:r w:rsidRPr="006711EB">
              <w:t>l/recycling as required by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7.3</w:t>
            </w:r>
          </w:p>
        </w:tc>
        <w:tc>
          <w:tcPr>
            <w:tcW w:w="5866"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Equipment and work area are cleaned in accordance with workplace procedures</w:t>
            </w:r>
          </w:p>
        </w:tc>
      </w:tr>
      <w:tr w:rsidTr="006711E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7.4</w:t>
            </w:r>
          </w:p>
        </w:tc>
        <w:tc>
          <w:tcPr>
            <w:tcW w:w="5866" w:type="dxa"/>
            <w:tcBorders>
              <w:top w:val="nil"/>
              <w:left w:val="nil"/>
              <w:bottom w:val="nil"/>
              <w:right w:val="nil"/>
            </w:tcBorders>
            <w:tcMar>
              <w:top w:w="0" w:type="dxa"/>
              <w:left w:w="62" w:type="dxa"/>
              <w:bottom w:w="0" w:type="dxa"/>
              <w:right w:w="62" w:type="dxa"/>
            </w:tcMar>
          </w:tcPr>
          <w:p w:rsidR="00000000" w:rsidRPr="006711EB" w:rsidP="006711EB">
            <w:pPr>
              <w:pStyle w:val="BodyText"/>
            </w:pPr>
            <w:r w:rsidRPr="006711EB">
              <w:t>Workplace documentation is completed as required</w:t>
            </w:r>
          </w:p>
        </w:tc>
      </w:tr>
    </w:tbl>
    <w:p w:rsidR="00000000" w:rsidRPr="006711EB" w:rsidP="006711EB">
      <w:pPr>
        <w:pStyle w:val="BodyText"/>
      </w:pPr>
    </w:p>
    <w:p w:rsidR="00000000" w:rsidRPr="006711EB" w:rsidP="006711EB">
      <w:pPr>
        <w:pStyle w:val="AllowPageBreak"/>
      </w:pPr>
    </w:p>
    <w:p w:rsidR="00000000" w:rsidRPr="006711EB" w:rsidP="006711EB">
      <w:pPr>
        <w:pStyle w:val="Heading1"/>
      </w:pPr>
      <w:bookmarkStart w:id="7" w:name="O_623297"/>
      <w:bookmarkEnd w:id="7"/>
      <w:r w:rsidRPr="006711EB">
        <w:t>Foundation Skills</w:t>
      </w:r>
    </w:p>
    <w:p w:rsidR="00000000" w:rsidRPr="006711EB" w:rsidP="006711EB">
      <w:pPr>
        <w:pStyle w:val="BodyText"/>
      </w:pPr>
      <w:r w:rsidRPr="006711EB">
        <w:t>Foundation skills essential to performance are explicit in the performance criteria of this unit of competency. Detail on appropriate performance levels for each furnishing unit of competency in reading, writing, oral communication and numeracy utilising t</w:t>
      </w:r>
      <w:r w:rsidRPr="006711EB">
        <w:t>he Australian Core Skills Framework (ACSF) are provided in the Furnishing Training Package Implementation Guide.</w:t>
      </w:r>
    </w:p>
    <w:p w:rsidR="00000000" w:rsidRPr="006711EB" w:rsidP="006711EB">
      <w:pPr>
        <w:pStyle w:val="AllowPageBreak"/>
      </w:pPr>
    </w:p>
    <w:p w:rsidR="00000000" w:rsidRPr="006711EB" w:rsidP="006711EB">
      <w:pPr>
        <w:pStyle w:val="Heading1"/>
      </w:pPr>
      <w:bookmarkStart w:id="8" w:name="O_623296"/>
      <w:bookmarkEnd w:id="8"/>
      <w:r w:rsidRPr="006711EB">
        <w:t>Range of Conditions</w:t>
      </w:r>
    </w:p>
    <w:tbl>
      <w:tblPr>
        <w:tblW w:w="0" w:type="auto"/>
        <w:tblLayout w:type="fixed"/>
        <w:tblCellMar>
          <w:left w:w="62" w:type="dxa"/>
          <w:right w:w="62" w:type="dxa"/>
        </w:tblCellMar>
        <w:tblLook w:val="0000"/>
      </w:tblPr>
      <w:tblGrid>
        <w:gridCol w:w="2760"/>
        <w:gridCol w:w="6312"/>
      </w:tblGrid>
      <w:tr w:rsidTr="00671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t>Specifies different work environments and conditions that may affect performance. Essential operating cond</w:t>
            </w:r>
            <w:r w:rsidRPr="006711E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711EB">
              <w:t>to the work environment.</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 xml:space="preserve">WHS requirements, including legislation, building codes, material safety management systems, hazardous and dangerous goods codes, and local safe operating procedures or equivalent </w:t>
            </w:r>
          </w:p>
          <w:p w:rsidR="00000000" w:rsidRPr="006711EB" w:rsidP="006711EB">
            <w:pPr>
              <w:pStyle w:val="ListBullet"/>
            </w:pPr>
            <w:r w:rsidRPr="006711EB">
              <w:t>work is carried out in accordance with legislative obligations, environmental legislation, relevant health regulations, manual handling procedures and organisation insurance requirements</w:t>
            </w:r>
          </w:p>
          <w:p w:rsidR="00000000" w:rsidP="006711EB">
            <w:pPr>
              <w:pStyle w:val="ListBullet"/>
              <w:rPr>
                <w:lang w:val="en-NZ"/>
              </w:rPr>
            </w:pPr>
            <w:r w:rsidRPr="006711EB">
              <w:t>work requires individuals to demonstrate some discretion, judgement a</w:t>
            </w:r>
            <w:r w:rsidRPr="006711EB">
              <w:t xml:space="preserve">nd problem solving </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Framing items includes:</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 xml:space="preserve">dry mounting original paper-based artwork </w:t>
            </w:r>
          </w:p>
          <w:p w:rsidR="00000000" w:rsidRPr="006711EB" w:rsidP="006711EB">
            <w:pPr>
              <w:pStyle w:val="ListBullet"/>
            </w:pPr>
            <w:r w:rsidRPr="006711EB">
              <w:t>reproduction artwork</w:t>
            </w:r>
          </w:p>
          <w:p w:rsidR="00000000" w:rsidRPr="006711EB" w:rsidP="006711EB">
            <w:pPr>
              <w:pStyle w:val="ListBullet"/>
            </w:pPr>
            <w:r w:rsidRPr="006711EB">
              <w:t>photographs</w:t>
            </w:r>
          </w:p>
          <w:p w:rsidR="00000000" w:rsidRPr="006711EB" w:rsidP="006711EB">
            <w:pPr>
              <w:pStyle w:val="ListBullet"/>
            </w:pPr>
            <w:r w:rsidRPr="006711EB">
              <w:t xml:space="preserve">photographic reproductions </w:t>
            </w:r>
          </w:p>
          <w:p w:rsidR="00000000" w:rsidRPr="006711EB" w:rsidP="006711EB">
            <w:pPr>
              <w:pStyle w:val="ListBullet"/>
            </w:pPr>
            <w:r w:rsidRPr="006711EB">
              <w:t xml:space="preserve">documents </w:t>
            </w:r>
          </w:p>
          <w:p w:rsidR="00000000" w:rsidRPr="006711EB" w:rsidP="006711EB">
            <w:pPr>
              <w:pStyle w:val="ListBullet"/>
            </w:pPr>
            <w:r w:rsidRPr="006711EB">
              <w:t xml:space="preserve">posters </w:t>
            </w:r>
          </w:p>
          <w:p w:rsidR="00000000" w:rsidP="006711EB">
            <w:pPr>
              <w:pStyle w:val="ListBullet"/>
              <w:rPr>
                <w:lang w:val="en-NZ"/>
              </w:rPr>
            </w:pPr>
            <w:r w:rsidRPr="006711EB">
              <w:t>wet mounting/laminating reproduction artwork and promotional materials</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Mounting artwo</w:t>
            </w:r>
            <w:r w:rsidRPr="006711EB">
              <w:rPr>
                <w:rStyle w:val="SpecialBold"/>
              </w:rPr>
              <w:t>rk includes:</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 xml:space="preserve">dry mounting paper-based artwork using heat press and cold press </w:t>
            </w:r>
          </w:p>
          <w:p w:rsidR="00000000" w:rsidRPr="006711EB" w:rsidP="006711EB">
            <w:pPr>
              <w:pStyle w:val="ListBullet"/>
            </w:pPr>
            <w:r w:rsidRPr="006711EB">
              <w:t xml:space="preserve">wet mounting paper and canvas-based artwork using adhesives and vacuum press </w:t>
            </w:r>
          </w:p>
          <w:p w:rsidR="00000000" w:rsidRPr="006711EB" w:rsidP="006711EB">
            <w:pPr>
              <w:pStyle w:val="ListBullet"/>
            </w:pPr>
            <w:r w:rsidRPr="006711EB">
              <w:t xml:space="preserve">laminating paper-based artwork using pressure roller or laminating equipment </w:t>
            </w:r>
          </w:p>
          <w:p w:rsidR="00000000" w:rsidP="006711EB">
            <w:pPr>
              <w:pStyle w:val="ListBullet"/>
              <w:rPr>
                <w:lang w:val="en-NZ"/>
              </w:rPr>
            </w:pPr>
            <w:r w:rsidRPr="006711EB">
              <w:t xml:space="preserve">hinging, prefabricated or custom made </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for dry mounting:</w:t>
            </w:r>
          </w:p>
          <w:p w:rsidR="00000000" w:rsidRPr="006711EB" w:rsidP="006711EB">
            <w:pPr>
              <w:pStyle w:val="ListBullet2"/>
            </w:pPr>
            <w:r w:rsidRPr="006711EB">
              <w:t xml:space="preserve">hard bed heat press </w:t>
            </w:r>
          </w:p>
          <w:p w:rsidR="00000000" w:rsidRPr="006711EB" w:rsidP="006711EB">
            <w:pPr>
              <w:pStyle w:val="ListBullet2"/>
            </w:pPr>
            <w:r w:rsidRPr="006711EB">
              <w:t xml:space="preserve">soft bed heat press </w:t>
            </w:r>
          </w:p>
          <w:p w:rsidR="00000000" w:rsidRPr="006711EB" w:rsidP="006711EB">
            <w:pPr>
              <w:pStyle w:val="ListBullet2"/>
            </w:pPr>
            <w:r w:rsidRPr="006711EB">
              <w:t xml:space="preserve">tacking iron </w:t>
            </w:r>
          </w:p>
          <w:p w:rsidR="00000000" w:rsidRPr="006711EB" w:rsidP="006711EB">
            <w:pPr>
              <w:pStyle w:val="ListBullet2"/>
            </w:pPr>
            <w:r w:rsidRPr="006711EB">
              <w:t xml:space="preserve">piercing tool </w:t>
            </w:r>
          </w:p>
          <w:p w:rsidR="00000000" w:rsidRPr="006711EB" w:rsidP="006711EB">
            <w:pPr>
              <w:pStyle w:val="ListBullet2"/>
            </w:pPr>
            <w:r w:rsidRPr="006711EB">
              <w:t xml:space="preserve">cutting blades </w:t>
            </w:r>
          </w:p>
          <w:p w:rsidR="00000000" w:rsidRPr="006711EB" w:rsidP="006711EB">
            <w:pPr>
              <w:pStyle w:val="ListBullet2"/>
            </w:pPr>
            <w:r w:rsidRPr="006711EB">
              <w:t xml:space="preserve">measuring tapes and marking out tools </w:t>
            </w:r>
          </w:p>
          <w:p w:rsidR="00000000" w:rsidRPr="006711EB" w:rsidP="006711EB">
            <w:pPr>
              <w:pStyle w:val="ListBullet2"/>
            </w:pPr>
            <w:r w:rsidRPr="006711EB">
              <w:t xml:space="preserve">overlay effect sheets </w:t>
            </w:r>
          </w:p>
          <w:p w:rsidR="00000000" w:rsidRPr="006711EB" w:rsidP="006711EB">
            <w:pPr>
              <w:pStyle w:val="ListBullet2"/>
            </w:pPr>
            <w:r w:rsidRPr="006711EB">
              <w:t xml:space="preserve">silicone release paper </w:t>
            </w:r>
          </w:p>
          <w:p w:rsidR="00000000" w:rsidRPr="006711EB" w:rsidP="006711EB">
            <w:pPr>
              <w:pStyle w:val="ListBullet2"/>
            </w:pPr>
            <w:r w:rsidRPr="006711EB">
              <w:t xml:space="preserve">Teflon and foam plastic blankets </w:t>
            </w:r>
          </w:p>
          <w:p w:rsidR="00000000" w:rsidRPr="006711EB" w:rsidP="006711EB">
            <w:pPr>
              <w:pStyle w:val="ListBullet"/>
            </w:pPr>
            <w:r w:rsidRPr="006711EB">
              <w:t>for wet mounting:</w:t>
            </w:r>
          </w:p>
          <w:p w:rsidR="00000000" w:rsidRPr="006711EB" w:rsidP="006711EB">
            <w:pPr>
              <w:pStyle w:val="ListBullet2"/>
            </w:pPr>
            <w:r w:rsidRPr="006711EB">
              <w:t xml:space="preserve">vacuum press </w:t>
            </w:r>
          </w:p>
          <w:p w:rsidR="00000000" w:rsidRPr="006711EB" w:rsidP="006711EB">
            <w:pPr>
              <w:pStyle w:val="ListBullet2"/>
            </w:pPr>
            <w:r w:rsidRPr="006711EB">
              <w:t xml:space="preserve">cutting blades </w:t>
            </w:r>
          </w:p>
          <w:p w:rsidR="00000000" w:rsidRPr="006711EB" w:rsidP="006711EB">
            <w:pPr>
              <w:pStyle w:val="ListBullet2"/>
            </w:pPr>
            <w:r w:rsidRPr="006711EB">
              <w:t xml:space="preserve">measuring tapes and marking out tools </w:t>
            </w:r>
          </w:p>
          <w:p w:rsidR="00000000" w:rsidRPr="006711EB" w:rsidP="006711EB">
            <w:pPr>
              <w:pStyle w:val="ListBullet2"/>
            </w:pPr>
            <w:r w:rsidRPr="006711EB">
              <w:t xml:space="preserve">scrapers </w:t>
            </w:r>
          </w:p>
          <w:p w:rsidR="00000000" w:rsidRPr="006711EB" w:rsidP="006711EB">
            <w:pPr>
              <w:pStyle w:val="ListBullet2"/>
            </w:pPr>
            <w:r w:rsidRPr="006711EB">
              <w:t xml:space="preserve">glue/adhesive applicators (rollers and spray guns) </w:t>
            </w:r>
          </w:p>
          <w:p w:rsidR="00000000" w:rsidRPr="006711EB" w:rsidP="006711EB">
            <w:pPr>
              <w:pStyle w:val="ListBullet"/>
            </w:pPr>
            <w:r w:rsidRPr="006711EB">
              <w:t>for pressure mounting:</w:t>
            </w:r>
          </w:p>
          <w:p w:rsidR="00000000" w:rsidRPr="006711EB" w:rsidP="006711EB">
            <w:pPr>
              <w:pStyle w:val="ListBullet2"/>
            </w:pPr>
            <w:r w:rsidRPr="006711EB">
              <w:t>pressure rolling equipment</w:t>
            </w:r>
          </w:p>
          <w:p w:rsidR="00000000" w:rsidRPr="006711EB" w:rsidP="006711EB">
            <w:pPr>
              <w:pStyle w:val="ListBullet2"/>
            </w:pPr>
            <w:r w:rsidRPr="006711EB">
              <w:t xml:space="preserve">cold film </w:t>
            </w:r>
          </w:p>
          <w:p w:rsidR="00000000" w:rsidRPr="006711EB" w:rsidP="006711EB">
            <w:pPr>
              <w:pStyle w:val="ListBullet"/>
            </w:pPr>
            <w:r w:rsidRPr="006711EB">
              <w:t>for laminating:</w:t>
            </w:r>
          </w:p>
          <w:p w:rsidR="00000000" w:rsidRPr="006711EB" w:rsidP="006711EB">
            <w:pPr>
              <w:pStyle w:val="ListBullet2"/>
            </w:pPr>
            <w:r w:rsidRPr="006711EB">
              <w:t xml:space="preserve">cold roller laminator </w:t>
            </w:r>
          </w:p>
          <w:p w:rsidR="00000000" w:rsidRPr="006711EB" w:rsidP="006711EB">
            <w:pPr>
              <w:pStyle w:val="ListBullet2"/>
            </w:pPr>
            <w:r w:rsidRPr="006711EB">
              <w:t>laminating equipment</w:t>
            </w:r>
          </w:p>
          <w:p w:rsidR="00000000" w:rsidRPr="006711EB" w:rsidP="006711EB">
            <w:pPr>
              <w:pStyle w:val="ListBullet2"/>
            </w:pPr>
            <w:r w:rsidRPr="006711EB">
              <w:t xml:space="preserve">cutting blades </w:t>
            </w:r>
          </w:p>
          <w:p w:rsidR="00000000" w:rsidRPr="006711EB" w:rsidP="006711EB">
            <w:pPr>
              <w:pStyle w:val="ListBullet2"/>
            </w:pPr>
            <w:r w:rsidRPr="006711EB">
              <w:t xml:space="preserve">measuring tapes and marking out tools </w:t>
            </w:r>
          </w:p>
          <w:p w:rsidR="00000000" w:rsidRPr="006711EB" w:rsidP="006711EB">
            <w:pPr>
              <w:pStyle w:val="ListBullet"/>
            </w:pPr>
            <w:r w:rsidRPr="006711EB">
              <w:t>for hinging:</w:t>
            </w:r>
          </w:p>
          <w:p w:rsidR="00000000" w:rsidRPr="006711EB" w:rsidP="006711EB">
            <w:pPr>
              <w:pStyle w:val="ListBullet2"/>
            </w:pPr>
            <w:r w:rsidRPr="006711EB">
              <w:t>straight edge</w:t>
            </w:r>
          </w:p>
          <w:p w:rsidR="00000000" w:rsidRPr="006711EB" w:rsidP="006711EB">
            <w:pPr>
              <w:pStyle w:val="ListBullet2"/>
            </w:pPr>
            <w:r w:rsidRPr="006711EB">
              <w:t xml:space="preserve">thin brush </w:t>
            </w:r>
          </w:p>
          <w:p w:rsidR="00000000" w:rsidRPr="006711EB" w:rsidP="006711EB">
            <w:pPr>
              <w:pStyle w:val="ListBullet2"/>
            </w:pPr>
            <w:r w:rsidRPr="006711EB">
              <w:t xml:space="preserve">weight bags </w:t>
            </w:r>
          </w:p>
          <w:p w:rsidR="00000000" w:rsidRPr="006711EB" w:rsidP="006711EB">
            <w:pPr>
              <w:pStyle w:val="ListBullet2"/>
            </w:pPr>
            <w:r w:rsidRPr="006711EB">
              <w:t xml:space="preserve">mixing vessel and swizzle </w:t>
            </w:r>
          </w:p>
          <w:p w:rsidR="00000000" w:rsidRPr="006711EB" w:rsidP="006711EB">
            <w:pPr>
              <w:pStyle w:val="ListBullet2"/>
            </w:pPr>
            <w:r w:rsidRPr="006711EB">
              <w:t xml:space="preserve">steam generator </w:t>
            </w:r>
          </w:p>
          <w:p w:rsidR="00000000" w:rsidP="006711EB">
            <w:pPr>
              <w:pStyle w:val="ListBullet2"/>
              <w:rPr>
                <w:lang w:val="en-NZ"/>
              </w:rPr>
            </w:pPr>
            <w:r w:rsidRPr="006711EB">
              <w:t xml:space="preserve">microwave oven </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Dry mounting materials include:</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medium density fibreboard (MDF)</w:t>
            </w:r>
          </w:p>
          <w:p w:rsidR="00000000" w:rsidRPr="006711EB" w:rsidP="006711EB">
            <w:pPr>
              <w:pStyle w:val="ListBullet"/>
            </w:pPr>
            <w:r w:rsidRPr="006711EB">
              <w:t>foam core</w:t>
            </w:r>
          </w:p>
          <w:p w:rsidR="00000000" w:rsidRPr="006711EB" w:rsidP="006711EB">
            <w:pPr>
              <w:pStyle w:val="ListBullet"/>
            </w:pPr>
            <w:r w:rsidRPr="006711EB">
              <w:t>screen board</w:t>
            </w:r>
          </w:p>
          <w:p w:rsidR="00000000" w:rsidRPr="006711EB" w:rsidP="006711EB">
            <w:pPr>
              <w:pStyle w:val="ListBullet"/>
            </w:pPr>
            <w:r w:rsidRPr="006711EB">
              <w:t>mat board</w:t>
            </w:r>
          </w:p>
          <w:p w:rsidR="00000000" w:rsidP="006711EB">
            <w:pPr>
              <w:pStyle w:val="ListBullet"/>
              <w:rPr>
                <w:lang w:val="en-NZ"/>
              </w:rPr>
            </w:pPr>
            <w:r w:rsidRPr="006711EB">
              <w:t>heat and pressure sensitive films and tissues</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Wet mounting materials include:</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MDF</w:t>
            </w:r>
          </w:p>
          <w:p w:rsidR="00000000" w:rsidRPr="006711EB" w:rsidP="006711EB">
            <w:pPr>
              <w:pStyle w:val="ListBullet"/>
            </w:pPr>
            <w:r w:rsidRPr="006711EB">
              <w:t>foam core</w:t>
            </w:r>
          </w:p>
          <w:p w:rsidR="00000000" w:rsidRPr="006711EB" w:rsidP="006711EB">
            <w:pPr>
              <w:pStyle w:val="ListBullet"/>
            </w:pPr>
            <w:r w:rsidRPr="006711EB">
              <w:t>screen board and glues</w:t>
            </w:r>
          </w:p>
          <w:p w:rsidR="00000000" w:rsidP="006711EB">
            <w:pPr>
              <w:pStyle w:val="ListBullet"/>
              <w:rPr>
                <w:lang w:val="en-NZ"/>
              </w:rPr>
            </w:pPr>
            <w:r w:rsidRPr="006711EB">
              <w:t>adhesives</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Laminating materials include:</w:t>
            </w:r>
          </w:p>
        </w:tc>
        <w:tc>
          <w:tcPr>
            <w:tcW w:w="6312" w:type="dxa"/>
            <w:tcBorders>
              <w:top w:val="nil"/>
              <w:left w:val="nil"/>
              <w:bottom w:val="nil"/>
              <w:right w:val="nil"/>
            </w:tcBorders>
            <w:tcMar>
              <w:top w:w="0" w:type="dxa"/>
              <w:left w:w="62" w:type="dxa"/>
              <w:bottom w:w="0" w:type="dxa"/>
              <w:right w:w="62" w:type="dxa"/>
            </w:tcMar>
          </w:tcPr>
          <w:p w:rsidR="00000000" w:rsidP="006711EB">
            <w:pPr>
              <w:pStyle w:val="ListBullet"/>
              <w:rPr>
                <w:lang w:val="en-NZ"/>
              </w:rPr>
            </w:pPr>
            <w:r w:rsidRPr="006711EB">
              <w:t>plastic film</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711EB" w:rsidP="006711EB">
            <w:pPr>
              <w:pStyle w:val="BodyText"/>
            </w:pPr>
            <w:r w:rsidRPr="006711EB">
              <w:rPr>
                <w:rStyle w:val="SpecialBold"/>
              </w:rPr>
              <w:t>Hinging materials include:</w:t>
            </w:r>
          </w:p>
          <w:p w:rsidR="00000000" w:rsidP="006711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hinging paper (mulberry paper and rice paper)</w:t>
            </w:r>
          </w:p>
          <w:p w:rsidR="00000000" w:rsidRPr="006711EB" w:rsidP="006711EB">
            <w:pPr>
              <w:pStyle w:val="ListBullet"/>
            </w:pPr>
            <w:r w:rsidRPr="006711EB">
              <w:t>pre-made hinging tape</w:t>
            </w:r>
          </w:p>
          <w:p w:rsidR="00000000" w:rsidRPr="006711EB" w:rsidP="006711EB">
            <w:pPr>
              <w:pStyle w:val="ListBullet"/>
            </w:pPr>
            <w:r w:rsidRPr="006711EB">
              <w:t>wheat starch</w:t>
            </w:r>
          </w:p>
          <w:p w:rsidR="00000000" w:rsidP="006711EB">
            <w:pPr>
              <w:pStyle w:val="ListBullet"/>
              <w:rPr>
                <w:lang w:val="en-NZ"/>
              </w:rPr>
            </w:pPr>
            <w:r w:rsidRPr="006711EB">
              <w:t>distilled water and methyl cellulose</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Defects in artwork include:</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lumps and bumps</w:t>
            </w:r>
          </w:p>
          <w:p w:rsidR="00000000" w:rsidRPr="006711EB" w:rsidP="006711EB">
            <w:pPr>
              <w:pStyle w:val="ListBullet"/>
            </w:pPr>
            <w:r w:rsidRPr="006711EB">
              <w:t>adhesive migration</w:t>
            </w:r>
          </w:p>
          <w:p w:rsidR="00000000" w:rsidP="006711EB">
            <w:pPr>
              <w:pStyle w:val="ListBullet"/>
              <w:rPr>
                <w:lang w:val="en-NZ"/>
              </w:rPr>
            </w:pPr>
            <w:r w:rsidRPr="006711EB">
              <w:t>misalignment and use of incorrect adhesive</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ethyl vinyl adhesive (EVA)</w:t>
            </w:r>
          </w:p>
          <w:p w:rsidR="00000000" w:rsidRPr="006711EB" w:rsidP="006711EB">
            <w:pPr>
              <w:pStyle w:val="ListBullet"/>
            </w:pPr>
            <w:r w:rsidRPr="006711EB">
              <w:t>poly vinyl adhesive (PVA)</w:t>
            </w:r>
          </w:p>
          <w:p w:rsidR="00000000" w:rsidRPr="006711EB" w:rsidP="006711EB">
            <w:pPr>
              <w:pStyle w:val="ListBullet"/>
            </w:pPr>
            <w:r w:rsidRPr="006711EB">
              <w:t>starch paste</w:t>
            </w:r>
          </w:p>
          <w:p w:rsidR="00000000" w:rsidP="006711EB">
            <w:pPr>
              <w:pStyle w:val="ListBullet"/>
              <w:rPr>
                <w:lang w:val="en-NZ"/>
              </w:rPr>
            </w:pPr>
            <w:r w:rsidRPr="006711EB">
              <w:t>heat and pressure sensitive tissues and films</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711EB">
            <w:pPr>
              <w:pStyle w:val="ListBullet"/>
              <w:rPr>
                <w:lang w:val="en-NZ"/>
              </w:rPr>
            </w:pPr>
            <w:r w:rsidRPr="006711EB">
              <w:t xml:space="preserve">that prescribed under legislation, regulations and enterprise policies </w:t>
            </w:r>
          </w:p>
        </w:tc>
      </w:tr>
      <w:tr w:rsidTr="006711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11EB">
            <w:pPr>
              <w:pStyle w:val="BodyText"/>
              <w:rPr>
                <w:lang w:val="en-NZ"/>
              </w:rPr>
            </w:pPr>
            <w:r w:rsidRPr="006711EB">
              <w:rPr>
                <w:rStyle w:val="SpecialBold"/>
              </w:rPr>
              <w:t xml:space="preserve">Information and procedures </w:t>
            </w:r>
            <w:r w:rsidRPr="006711EB">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6711EB" w:rsidP="006711EB">
            <w:pPr>
              <w:pStyle w:val="ListBullet"/>
            </w:pPr>
            <w:r w:rsidRPr="006711EB">
              <w:t xml:space="preserve">workplace procedures relating to the use of tools and equipment </w:t>
            </w:r>
          </w:p>
          <w:p w:rsidR="00000000" w:rsidRPr="006711EB" w:rsidP="006711EB">
            <w:pPr>
              <w:pStyle w:val="ListBullet"/>
            </w:pPr>
            <w:r w:rsidRPr="006711EB">
              <w:t>work instructions, including job sheets, cutting lists, plans, drawings and desig</w:t>
            </w:r>
            <w:r w:rsidRPr="006711EB">
              <w:t xml:space="preserve">ns </w:t>
            </w:r>
          </w:p>
          <w:p w:rsidR="00000000" w:rsidRPr="006711EB" w:rsidP="006711EB">
            <w:pPr>
              <w:pStyle w:val="ListBullet"/>
            </w:pPr>
            <w:r w:rsidRPr="006711EB">
              <w:t xml:space="preserve">workplace procedures relating to reporting and communication </w:t>
            </w:r>
          </w:p>
          <w:p w:rsidR="00000000" w:rsidRPr="006711EB" w:rsidP="006711EB">
            <w:pPr>
              <w:pStyle w:val="ListBullet"/>
            </w:pPr>
            <w:r w:rsidRPr="006711EB">
              <w:t>manufacturer specifications and operational procedures</w:t>
            </w:r>
          </w:p>
        </w:tc>
      </w:tr>
    </w:tbl>
    <w:p w:rsidR="00000000" w:rsidRPr="006711EB" w:rsidP="006711EB">
      <w:pPr>
        <w:pStyle w:val="BodyText"/>
      </w:pPr>
    </w:p>
    <w:p w:rsidR="00000000" w:rsidRPr="006711EB" w:rsidP="006711EB">
      <w:pPr>
        <w:pStyle w:val="AllowPageBreak"/>
      </w:pPr>
    </w:p>
    <w:p w:rsidR="00000000" w:rsidRPr="006711EB" w:rsidP="006711EB">
      <w:pPr>
        <w:pStyle w:val="Heading1"/>
      </w:pPr>
      <w:bookmarkStart w:id="9" w:name="O_623295"/>
      <w:bookmarkEnd w:id="9"/>
      <w:r w:rsidRPr="006711EB">
        <w:t>Unit Mapping Information</w:t>
      </w:r>
    </w:p>
    <w:p w:rsidR="00000000" w:rsidRPr="006711EB" w:rsidP="006711EB">
      <w:pPr>
        <w:pStyle w:val="BodyText"/>
      </w:pPr>
      <w:r w:rsidRPr="006711EB">
        <w:t>Supersedes and is equivalent to LMFPF2004B Mount artwork.</w:t>
      </w:r>
    </w:p>
    <w:p w:rsidR="00000000" w:rsidRPr="006711EB" w:rsidP="006711EB">
      <w:pPr>
        <w:pStyle w:val="AllowPageBreak"/>
      </w:pPr>
    </w:p>
    <w:p w:rsidR="00000000" w:rsidRPr="006711EB" w:rsidP="006711EB">
      <w:pPr>
        <w:pStyle w:val="Heading1"/>
      </w:pPr>
      <w:bookmarkStart w:id="10" w:name="O_623288"/>
      <w:bookmarkEnd w:id="10"/>
      <w:r w:rsidRPr="006711EB">
        <w:t>Links</w:t>
      </w:r>
    </w:p>
    <w:p w:rsidR="00000000" w:rsidRPr="006711EB" w:rsidP="006711EB">
      <w:pPr>
        <w:pStyle w:val="BodyText"/>
      </w:pPr>
      <w:r w:rsidRPr="006711EB">
        <w:t>Companion Volume implementation guides are found in VETNet - https://vetnet.education.gov.au/Pages/TrainingDocs.aspx?q=0601ab95-583a-4e93-b2d4-cfb27b03ed73</w:t>
      </w:r>
    </w:p>
    <w:p w:rsidR="00000000" w:rsidRPr="006711EB" w:rsidP="006711EB"/>
    <w:sectPr w:rsidSect="006711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EB" w:rsidRPr="00A15337" w:rsidP="00A15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337" w:rsidP="00671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5337" w:rsidP="006711E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5337" w:rsidP="00671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1EB" w:rsidRPr="00A15337" w:rsidP="00A15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337" w:rsidRPr="002D2AF8" w:rsidP="006711EB">
    <w:pPr>
      <w:pStyle w:val="Header"/>
      <w:framePr w:wrap="around"/>
    </w:pPr>
    <w:r>
      <w:fldChar w:fldCharType="begin"/>
    </w:r>
    <w:r>
      <w:instrText xml:space="preserve"> TITLE   \* MERGEFORMAT </w:instrText>
    </w:r>
    <w:r>
      <w:fldChar w:fldCharType="separate"/>
    </w:r>
    <w:r>
      <w:t>MSFPF2004 Mount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15337" w:rsidP="00671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28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41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CC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1EB"/>
    <w:pPr>
      <w:spacing w:before="360" w:after="60"/>
      <w:outlineLvl w:val="0"/>
    </w:pPr>
    <w:rPr>
      <w:sz w:val="32"/>
    </w:rPr>
  </w:style>
  <w:style w:type="paragraph" w:styleId="Heading2">
    <w:name w:val="heading 2"/>
    <w:basedOn w:val="HeadingBase"/>
    <w:next w:val="BodyText"/>
    <w:link w:val="Heading2Char"/>
    <w:qFormat/>
    <w:rsid w:val="006711EB"/>
    <w:pPr>
      <w:keepLines/>
      <w:spacing w:before="240" w:after="120"/>
      <w:outlineLvl w:val="1"/>
    </w:pPr>
    <w:rPr>
      <w:sz w:val="28"/>
      <w:szCs w:val="40"/>
    </w:rPr>
  </w:style>
  <w:style w:type="paragraph" w:styleId="Heading3">
    <w:name w:val="heading 3"/>
    <w:basedOn w:val="HeadingBase"/>
    <w:next w:val="BodyText"/>
    <w:link w:val="Heading3Char"/>
    <w:qFormat/>
    <w:rsid w:val="006711EB"/>
    <w:pPr>
      <w:spacing w:before="180" w:after="120"/>
      <w:outlineLvl w:val="2"/>
    </w:pPr>
    <w:rPr>
      <w:spacing w:val="-10"/>
      <w:kern w:val="32"/>
    </w:rPr>
  </w:style>
  <w:style w:type="paragraph" w:styleId="Heading4">
    <w:name w:val="heading 4"/>
    <w:basedOn w:val="HeadingBase"/>
    <w:next w:val="BodyText"/>
    <w:link w:val="Heading4Char"/>
    <w:qFormat/>
    <w:rsid w:val="006711EB"/>
    <w:pPr>
      <w:spacing w:before="160" w:after="120"/>
      <w:outlineLvl w:val="3"/>
    </w:pPr>
    <w:rPr>
      <w:sz w:val="22"/>
    </w:rPr>
  </w:style>
  <w:style w:type="paragraph" w:styleId="Heading5">
    <w:name w:val="heading 5"/>
    <w:basedOn w:val="HeadingBase"/>
    <w:next w:val="Normal"/>
    <w:link w:val="Heading5Char"/>
    <w:qFormat/>
    <w:rsid w:val="006711EB"/>
    <w:pPr>
      <w:spacing w:before="80"/>
      <w:outlineLvl w:val="4"/>
    </w:pPr>
    <w:rPr>
      <w:color w:val="918585"/>
      <w:sz w:val="20"/>
    </w:rPr>
  </w:style>
  <w:style w:type="paragraph" w:styleId="Heading6">
    <w:name w:val="heading 6"/>
    <w:basedOn w:val="HeadingBase"/>
    <w:next w:val="Normal"/>
    <w:link w:val="Heading6Char"/>
    <w:qFormat/>
    <w:rsid w:val="006711EB"/>
    <w:pPr>
      <w:spacing w:before="60"/>
      <w:outlineLvl w:val="5"/>
    </w:pPr>
    <w:rPr>
      <w:color w:val="918585"/>
      <w:sz w:val="20"/>
    </w:rPr>
  </w:style>
  <w:style w:type="paragraph" w:styleId="Heading7">
    <w:name w:val="heading 7"/>
    <w:basedOn w:val="Normal"/>
    <w:next w:val="Normal"/>
    <w:link w:val="Heading7Char"/>
    <w:qFormat/>
    <w:rsid w:val="006711EB"/>
    <w:pPr>
      <w:ind w:left="720"/>
      <w:outlineLvl w:val="6"/>
    </w:pPr>
    <w:rPr>
      <w:i/>
    </w:rPr>
  </w:style>
  <w:style w:type="paragraph" w:styleId="Heading8">
    <w:name w:val="heading 8"/>
    <w:basedOn w:val="Normal"/>
    <w:next w:val="Normal"/>
    <w:link w:val="Heading8Char"/>
    <w:qFormat/>
    <w:rsid w:val="006711EB"/>
    <w:pPr>
      <w:ind w:left="720"/>
      <w:outlineLvl w:val="7"/>
    </w:pPr>
    <w:rPr>
      <w:i/>
    </w:rPr>
  </w:style>
  <w:style w:type="paragraph" w:styleId="Heading9">
    <w:name w:val="heading 9"/>
    <w:basedOn w:val="Normal"/>
    <w:next w:val="Normal"/>
    <w:link w:val="Heading9Char"/>
    <w:qFormat/>
    <w:rsid w:val="006711EB"/>
    <w:pPr>
      <w:ind w:left="720"/>
      <w:outlineLvl w:val="8"/>
    </w:pPr>
    <w:rPr>
      <w:i/>
    </w:rPr>
  </w:style>
  <w:style w:type="character" w:default="1" w:styleId="DefaultParagraphFont">
    <w:name w:val="Default Paragraph Font"/>
    <w:uiPriority w:val="1"/>
    <w:unhideWhenUsed/>
    <w:rsid w:val="00671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1EB"/>
  </w:style>
  <w:style w:type="character" w:customStyle="1" w:styleId="Heading1Char">
    <w:name w:val="Heading 1 Char"/>
    <w:basedOn w:val="DefaultParagraphFont"/>
    <w:link w:val="Heading1"/>
    <w:rsid w:val="006711EB"/>
    <w:rPr>
      <w:rFonts w:ascii="Times New Roman" w:eastAsia="Times New Roman" w:hAnsi="Times New Roman" w:cs="Times New Roman"/>
      <w:b/>
      <w:sz w:val="32"/>
      <w:szCs w:val="20"/>
      <w:lang w:eastAsia="en-US"/>
    </w:rPr>
  </w:style>
  <w:style w:type="paragraph" w:styleId="BodyText">
    <w:name w:val="Body Text"/>
    <w:basedOn w:val="Normal"/>
    <w:link w:val="BodyTextChar"/>
    <w:rsid w:val="006711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11EB"/>
    <w:rPr>
      <w:rFonts w:ascii="Times New Roman" w:eastAsia="Times New Roman" w:hAnsi="Times New Roman" w:cs="Times New Roman"/>
      <w:sz w:val="24"/>
      <w:lang w:eastAsia="en-US"/>
    </w:rPr>
  </w:style>
  <w:style w:type="paragraph" w:styleId="ListBullet">
    <w:name w:val="List Bullet"/>
    <w:basedOn w:val="List"/>
    <w:rsid w:val="006711EB"/>
    <w:pPr>
      <w:numPr>
        <w:numId w:val="13"/>
      </w:numPr>
      <w:tabs>
        <w:tab w:val="clear" w:pos="340"/>
      </w:tabs>
      <w:spacing w:before="40" w:after="40"/>
    </w:pPr>
  </w:style>
  <w:style w:type="character" w:customStyle="1" w:styleId="SpecialBold">
    <w:name w:val="Special Bold"/>
    <w:basedOn w:val="DefaultParagraphFont"/>
    <w:rsid w:val="006711EB"/>
    <w:rPr>
      <w:b/>
      <w:spacing w:val="0"/>
    </w:rPr>
  </w:style>
  <w:style w:type="paragraph" w:styleId="ListBullet2">
    <w:name w:val="List Bullet 2"/>
    <w:basedOn w:val="List2"/>
    <w:rsid w:val="006711EB"/>
    <w:pPr>
      <w:numPr>
        <w:numId w:val="14"/>
      </w:numPr>
      <w:tabs>
        <w:tab w:val="clear" w:pos="680"/>
      </w:tabs>
    </w:pPr>
  </w:style>
  <w:style w:type="paragraph" w:customStyle="1" w:styleId="SuperHeading">
    <w:name w:val="SuperHeading"/>
    <w:basedOn w:val="Normal"/>
    <w:rsid w:val="006711EB"/>
    <w:pPr>
      <w:spacing w:before="240" w:after="120"/>
      <w:outlineLvl w:val="0"/>
    </w:pPr>
    <w:rPr>
      <w:rFonts w:ascii="Times New Roman" w:hAnsi="Times New Roman"/>
      <w:b/>
      <w:sz w:val="32"/>
    </w:rPr>
  </w:style>
  <w:style w:type="paragraph" w:customStyle="1" w:styleId="AllowPageBreak">
    <w:name w:val="AllowPageBreak"/>
    <w:rsid w:val="006711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1EB"/>
    <w:rPr>
      <w:rFonts w:ascii="Courier New" w:eastAsia="Times New Roman" w:hAnsi="Courier New" w:cs="Times New Roman"/>
      <w:i/>
      <w:szCs w:val="20"/>
      <w:lang w:eastAsia="en-US"/>
    </w:rPr>
  </w:style>
  <w:style w:type="paragraph" w:customStyle="1" w:styleId="HeadingBase">
    <w:name w:val="Heading Base"/>
    <w:rsid w:val="00671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1EB"/>
    <w:pPr>
      <w:tabs>
        <w:tab w:val="right" w:leader="dot" w:pos="9072"/>
      </w:tabs>
      <w:ind w:left="567"/>
    </w:pPr>
    <w:rPr>
      <w:szCs w:val="22"/>
    </w:rPr>
  </w:style>
  <w:style w:type="paragraph" w:customStyle="1" w:styleId="TOCBase">
    <w:name w:val="TOC Base"/>
    <w:rsid w:val="00671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1EB"/>
    <w:pPr>
      <w:tabs>
        <w:tab w:val="right" w:leader="dot" w:pos="9072"/>
      </w:tabs>
      <w:spacing w:before="40" w:after="40"/>
      <w:ind w:left="284"/>
    </w:pPr>
    <w:rPr>
      <w:rFonts w:ascii="Times New Roman" w:hAnsi="Times New Roman"/>
    </w:rPr>
  </w:style>
  <w:style w:type="paragraph" w:styleId="TOC1">
    <w:name w:val="toc 1"/>
    <w:basedOn w:val="TOCBase"/>
    <w:next w:val="Normal"/>
    <w:rsid w:val="00671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1EB"/>
    <w:rPr>
      <w:rFonts w:ascii="Times New Roman" w:eastAsia="Times New Roman" w:hAnsi="Times New Roman" w:cs="Times New Roman"/>
      <w:sz w:val="16"/>
      <w:lang w:eastAsia="en-US"/>
    </w:rPr>
  </w:style>
  <w:style w:type="paragraph" w:styleId="Title">
    <w:name w:val="Title"/>
    <w:basedOn w:val="HeadingBase"/>
    <w:link w:val="TitleChar"/>
    <w:qFormat/>
    <w:rsid w:val="006711EB"/>
    <w:pPr>
      <w:spacing w:before="5040"/>
      <w:jc w:val="center"/>
    </w:pPr>
    <w:rPr>
      <w:sz w:val="48"/>
      <w:szCs w:val="72"/>
      <w:lang w:val="en-US"/>
    </w:rPr>
  </w:style>
  <w:style w:type="character" w:customStyle="1" w:styleId="TitleChar">
    <w:name w:val="Title Char"/>
    <w:basedOn w:val="DefaultParagraphFont"/>
    <w:link w:val="Title"/>
    <w:rsid w:val="00671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1EB"/>
    <w:pPr>
      <w:tabs>
        <w:tab w:val="left" w:pos="3600"/>
        <w:tab w:val="left" w:pos="3958"/>
      </w:tabs>
    </w:pPr>
  </w:style>
  <w:style w:type="paragraph" w:styleId="List">
    <w:name w:val="List"/>
    <w:basedOn w:val="BodyText"/>
    <w:next w:val="BodyText"/>
    <w:rsid w:val="006711EB"/>
    <w:pPr>
      <w:tabs>
        <w:tab w:val="left" w:pos="340"/>
      </w:tabs>
      <w:spacing w:before="60" w:after="60"/>
      <w:ind w:left="340" w:hanging="340"/>
    </w:pPr>
  </w:style>
  <w:style w:type="paragraph" w:customStyle="1" w:styleId="Note">
    <w:name w:val="Note"/>
    <w:basedOn w:val="BodyText"/>
    <w:rsid w:val="00671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1EB"/>
    <w:pPr>
      <w:framePr w:wrap="auto" w:hAnchor="text" w:y="6049"/>
    </w:pPr>
    <w:rPr>
      <w:color w:val="000000"/>
      <w:sz w:val="40"/>
    </w:rPr>
  </w:style>
  <w:style w:type="paragraph" w:customStyle="1" w:styleId="TOCTitle">
    <w:name w:val="TOCTitle"/>
    <w:basedOn w:val="Heading1"/>
    <w:rsid w:val="006711EB"/>
    <w:pPr>
      <w:spacing w:after="240"/>
      <w:jc w:val="center"/>
      <w:outlineLvl w:val="9"/>
    </w:pPr>
    <w:rPr>
      <w:caps/>
    </w:rPr>
  </w:style>
  <w:style w:type="paragraph" w:customStyle="1" w:styleId="Version">
    <w:name w:val="Version"/>
    <w:rsid w:val="00671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1EB"/>
    <w:pPr>
      <w:keepNext w:val="0"/>
      <w:tabs>
        <w:tab w:val="right" w:pos="4176"/>
      </w:tabs>
      <w:ind w:left="198" w:hanging="198"/>
    </w:pPr>
    <w:rPr>
      <w:rFonts w:ascii="Garamond" w:hAnsi="Garamond"/>
    </w:rPr>
  </w:style>
  <w:style w:type="paragraph" w:styleId="IndexHeading">
    <w:name w:val="index heading"/>
    <w:basedOn w:val="Normal"/>
    <w:next w:val="Index1"/>
    <w:semiHidden/>
    <w:rsid w:val="006711EB"/>
    <w:pPr>
      <w:spacing w:before="120" w:after="120"/>
    </w:pPr>
    <w:rPr>
      <w:rFonts w:ascii="Arial" w:hAnsi="Arial"/>
      <w:b/>
      <w:color w:val="918585"/>
      <w:sz w:val="24"/>
    </w:rPr>
  </w:style>
  <w:style w:type="paragraph" w:styleId="Header">
    <w:name w:val="header"/>
    <w:basedOn w:val="Normal"/>
    <w:link w:val="HeaderChar"/>
    <w:rsid w:val="00671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1EB"/>
    <w:rPr>
      <w:rFonts w:ascii="Times New Roman" w:eastAsia="Times New Roman" w:hAnsi="Times New Roman" w:cs="Times New Roman"/>
      <w:sz w:val="16"/>
      <w:szCs w:val="20"/>
      <w:lang w:val="en-GB" w:eastAsia="en-US"/>
    </w:rPr>
  </w:style>
  <w:style w:type="paragraph" w:customStyle="1" w:styleId="Chapter">
    <w:name w:val="Chapter"/>
    <w:basedOn w:val="Normal"/>
    <w:rsid w:val="006711EB"/>
    <w:pPr>
      <w:spacing w:before="240"/>
    </w:pPr>
    <w:rPr>
      <w:rFonts w:ascii="Times New Roman" w:hAnsi="Times New Roman"/>
      <w:smallCaps/>
      <w:spacing w:val="80"/>
      <w:sz w:val="28"/>
    </w:rPr>
  </w:style>
  <w:style w:type="paragraph" w:customStyle="1" w:styleId="InChapter">
    <w:name w:val="InChapter"/>
    <w:basedOn w:val="Heading3"/>
    <w:rsid w:val="006711EB"/>
    <w:pPr>
      <w:spacing w:after="240"/>
      <w:outlineLvl w:val="9"/>
    </w:pPr>
    <w:rPr>
      <w:noProof/>
    </w:rPr>
  </w:style>
  <w:style w:type="paragraph" w:styleId="Index2">
    <w:name w:val="index 2"/>
    <w:basedOn w:val="Normal"/>
    <w:next w:val="Normal"/>
    <w:semiHidden/>
    <w:rsid w:val="006711EB"/>
    <w:pPr>
      <w:tabs>
        <w:tab w:val="right" w:pos="4176"/>
      </w:tabs>
      <w:ind w:left="568" w:hanging="284"/>
    </w:pPr>
    <w:rPr>
      <w:rFonts w:ascii="Garamond" w:hAnsi="Garamond"/>
    </w:rPr>
  </w:style>
  <w:style w:type="paragraph" w:customStyle="1" w:styleId="Byline">
    <w:name w:val="Byline"/>
    <w:rsid w:val="00671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1EB"/>
    <w:pPr>
      <w:tabs>
        <w:tab w:val="clear" w:pos="3600"/>
        <w:tab w:val="clear" w:pos="3958"/>
      </w:tabs>
      <w:jc w:val="right"/>
    </w:pPr>
  </w:style>
  <w:style w:type="character" w:styleId="Emphasis">
    <w:name w:val="Emphasis"/>
    <w:basedOn w:val="DefaultParagraphFont"/>
    <w:qFormat/>
    <w:rsid w:val="006711EB"/>
    <w:rPr>
      <w:i/>
    </w:rPr>
  </w:style>
  <w:style w:type="paragraph" w:styleId="Caption">
    <w:name w:val="caption"/>
    <w:basedOn w:val="BodyText"/>
    <w:next w:val="Normal"/>
    <w:qFormat/>
    <w:rsid w:val="006711EB"/>
    <w:pPr>
      <w:framePr w:w="2268" w:hSpace="181" w:vSpace="181" w:wrap="around" w:vAnchor="text" w:hAnchor="page" w:x="1135" w:y="285" w:anchorLock="1"/>
    </w:pPr>
    <w:rPr>
      <w:i/>
    </w:rPr>
  </w:style>
  <w:style w:type="paragraph" w:customStyle="1" w:styleId="MiniTOCTitle">
    <w:name w:val="MiniTOCTitle"/>
    <w:basedOn w:val="Heading4"/>
    <w:rsid w:val="006711EB"/>
    <w:pPr>
      <w:spacing w:before="240"/>
      <w:outlineLvl w:val="9"/>
    </w:pPr>
    <w:rPr>
      <w:noProof/>
      <w:sz w:val="24"/>
    </w:rPr>
  </w:style>
  <w:style w:type="paragraph" w:customStyle="1" w:styleId="MiniTOCItem">
    <w:name w:val="MiniTOCItem"/>
    <w:basedOn w:val="ListBullet"/>
    <w:rsid w:val="006711EB"/>
    <w:pPr>
      <w:numPr>
        <w:numId w:val="0"/>
      </w:numPr>
      <w:tabs>
        <w:tab w:val="right" w:leader="dot" w:pos="6521"/>
      </w:tabs>
      <w:spacing w:before="0" w:after="0"/>
    </w:pPr>
  </w:style>
  <w:style w:type="paragraph" w:customStyle="1" w:styleId="TOFTitle">
    <w:name w:val="TOFTitle"/>
    <w:basedOn w:val="TOCTitle"/>
    <w:rsid w:val="006711EB"/>
  </w:style>
  <w:style w:type="paragraph" w:styleId="TableofFigures">
    <w:name w:val="table of figures"/>
    <w:basedOn w:val="Normal"/>
    <w:next w:val="Normal"/>
    <w:semiHidden/>
    <w:rsid w:val="006711EB"/>
    <w:pPr>
      <w:tabs>
        <w:tab w:val="right" w:leader="dot" w:pos="9072"/>
      </w:tabs>
      <w:ind w:left="970" w:hanging="403"/>
    </w:pPr>
    <w:rPr>
      <w:rFonts w:ascii="Times New Roman" w:hAnsi="Times New Roman"/>
      <w:b/>
    </w:rPr>
  </w:style>
  <w:style w:type="paragraph" w:styleId="ListNumber">
    <w:name w:val="List Number"/>
    <w:basedOn w:val="List"/>
    <w:rsid w:val="006711EB"/>
    <w:pPr>
      <w:numPr>
        <w:numId w:val="11"/>
      </w:numPr>
    </w:pPr>
  </w:style>
  <w:style w:type="character" w:customStyle="1" w:styleId="WingdingSymbols">
    <w:name w:val="Wingding Symbols"/>
    <w:rsid w:val="006711EB"/>
    <w:rPr>
      <w:rFonts w:ascii="Wingdings" w:hAnsi="Wingdings"/>
    </w:rPr>
  </w:style>
  <w:style w:type="paragraph" w:customStyle="1" w:styleId="TableHeading">
    <w:name w:val="Table Heading"/>
    <w:basedOn w:val="HeadingBase"/>
    <w:rsid w:val="006711EB"/>
    <w:pPr>
      <w:keepLines/>
      <w:pBdr>
        <w:bottom w:val="single" w:sz="6" w:space="1" w:color="918585"/>
      </w:pBdr>
      <w:spacing w:before="240"/>
    </w:pPr>
  </w:style>
  <w:style w:type="character" w:customStyle="1" w:styleId="HotSpot">
    <w:name w:val="HotSpot"/>
    <w:rsid w:val="006711EB"/>
    <w:rPr>
      <w:color w:val="0033CC"/>
      <w:u w:val="none"/>
    </w:rPr>
  </w:style>
  <w:style w:type="paragraph" w:customStyle="1" w:styleId="BodyTextRight">
    <w:name w:val="Body Text Right"/>
    <w:basedOn w:val="BodyText"/>
    <w:rsid w:val="006711EB"/>
    <w:pPr>
      <w:spacing w:before="0" w:after="0"/>
      <w:jc w:val="right"/>
    </w:pPr>
  </w:style>
  <w:style w:type="paragraph" w:styleId="Index3">
    <w:name w:val="index 3"/>
    <w:basedOn w:val="ListNumber2"/>
    <w:next w:val="Normal"/>
    <w:semiHidden/>
    <w:rsid w:val="006711EB"/>
    <w:pPr>
      <w:numPr>
        <w:numId w:val="0"/>
      </w:numPr>
      <w:tabs>
        <w:tab w:val="right" w:leader="dot" w:pos="4176"/>
      </w:tabs>
    </w:pPr>
  </w:style>
  <w:style w:type="paragraph" w:styleId="ListNumber2">
    <w:name w:val="List Number 2"/>
    <w:basedOn w:val="List2"/>
    <w:rsid w:val="006711EB"/>
    <w:pPr>
      <w:numPr>
        <w:numId w:val="10"/>
      </w:numPr>
      <w:tabs>
        <w:tab w:val="clear" w:pos="1060"/>
      </w:tabs>
    </w:pPr>
  </w:style>
  <w:style w:type="paragraph" w:customStyle="1" w:styleId="MarginNote">
    <w:name w:val="Margin Note"/>
    <w:basedOn w:val="BodyText"/>
    <w:rsid w:val="00671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1EB"/>
    <w:rPr>
      <w:sz w:val="32"/>
    </w:rPr>
  </w:style>
  <w:style w:type="paragraph" w:customStyle="1" w:styleId="HeadingProcedure">
    <w:name w:val="Heading Procedure"/>
    <w:basedOn w:val="HeadingBase"/>
    <w:next w:val="Normal"/>
    <w:rsid w:val="006711EB"/>
    <w:pPr>
      <w:tabs>
        <w:tab w:val="left" w:pos="0"/>
      </w:tabs>
      <w:spacing w:before="120" w:after="60"/>
    </w:pPr>
    <w:rPr>
      <w:i/>
      <w:color w:val="918585"/>
      <w:sz w:val="22"/>
    </w:rPr>
  </w:style>
  <w:style w:type="paragraph" w:customStyle="1" w:styleId="TableBodyText">
    <w:name w:val="Table Body Text"/>
    <w:basedOn w:val="BodyText"/>
    <w:rsid w:val="006711EB"/>
    <w:pPr>
      <w:spacing w:before="60" w:after="60"/>
    </w:pPr>
  </w:style>
  <w:style w:type="paragraph" w:styleId="ListContinue">
    <w:name w:val="List Continue"/>
    <w:basedOn w:val="List"/>
    <w:rsid w:val="006711EB"/>
    <w:pPr>
      <w:ind w:firstLine="0"/>
    </w:pPr>
  </w:style>
  <w:style w:type="paragraph" w:customStyle="1" w:styleId="ListNote">
    <w:name w:val="List Note"/>
    <w:basedOn w:val="List"/>
    <w:rsid w:val="006711EB"/>
    <w:pPr>
      <w:pBdr>
        <w:top w:val="single" w:sz="6" w:space="2" w:color="918585"/>
        <w:bottom w:val="single" w:sz="6" w:space="2" w:color="918585"/>
      </w:pBdr>
      <w:tabs>
        <w:tab w:val="left" w:pos="1021"/>
      </w:tabs>
      <w:ind w:firstLine="0"/>
    </w:pPr>
  </w:style>
  <w:style w:type="paragraph" w:customStyle="1" w:styleId="Warning">
    <w:name w:val="Warning"/>
    <w:basedOn w:val="BodyText"/>
    <w:rsid w:val="006711EB"/>
    <w:pPr>
      <w:shd w:val="clear" w:color="auto" w:fill="D9D9D9"/>
      <w:tabs>
        <w:tab w:val="left" w:pos="992"/>
      </w:tabs>
      <w:ind w:left="119" w:right="119"/>
    </w:pPr>
    <w:rPr>
      <w:sz w:val="20"/>
    </w:rPr>
  </w:style>
  <w:style w:type="paragraph" w:customStyle="1" w:styleId="MarginIcons">
    <w:name w:val="Margin Icons"/>
    <w:basedOn w:val="BodyText"/>
    <w:rsid w:val="00671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1EB"/>
    <w:rPr>
      <w:rFonts w:ascii="Courier New" w:hAnsi="Courier New"/>
    </w:rPr>
  </w:style>
  <w:style w:type="paragraph" w:customStyle="1" w:styleId="NoteBullet">
    <w:name w:val="Note Bullet"/>
    <w:basedOn w:val="Note"/>
    <w:rsid w:val="006711EB"/>
    <w:pPr>
      <w:tabs>
        <w:tab w:val="clear" w:pos="680"/>
      </w:tabs>
      <w:spacing w:before="60" w:after="60"/>
    </w:pPr>
  </w:style>
  <w:style w:type="paragraph" w:customStyle="1" w:styleId="SubHeading2">
    <w:name w:val="SubHeading2"/>
    <w:basedOn w:val="HeadingBase"/>
    <w:rsid w:val="006711EB"/>
    <w:pPr>
      <w:spacing w:before="240" w:after="60"/>
    </w:pPr>
    <w:rPr>
      <w:sz w:val="20"/>
    </w:rPr>
  </w:style>
  <w:style w:type="paragraph" w:customStyle="1" w:styleId="SubHeading1">
    <w:name w:val="SubHeading1"/>
    <w:basedOn w:val="HeadingBase"/>
    <w:rsid w:val="006711EB"/>
    <w:pPr>
      <w:spacing w:before="240" w:after="60"/>
    </w:pPr>
    <w:rPr>
      <w:color w:val="918585"/>
      <w:sz w:val="22"/>
    </w:rPr>
  </w:style>
  <w:style w:type="paragraph" w:customStyle="1" w:styleId="SideHeading">
    <w:name w:val="Side Heading"/>
    <w:basedOn w:val="HeadingBase"/>
    <w:rsid w:val="00671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1EB"/>
    <w:pPr>
      <w:numPr>
        <w:numId w:val="12"/>
      </w:numPr>
    </w:pPr>
  </w:style>
  <w:style w:type="paragraph" w:styleId="PlainText">
    <w:name w:val="Plain Text"/>
    <w:basedOn w:val="Normal"/>
    <w:link w:val="PlainTextChar"/>
    <w:rsid w:val="006711EB"/>
    <w:rPr>
      <w:sz w:val="20"/>
    </w:rPr>
  </w:style>
  <w:style w:type="character" w:customStyle="1" w:styleId="PlainTextChar">
    <w:name w:val="Plain Text Char"/>
    <w:basedOn w:val="DefaultParagraphFont"/>
    <w:link w:val="PlainText"/>
    <w:rsid w:val="006711EB"/>
    <w:rPr>
      <w:rFonts w:ascii="Courier New" w:eastAsia="Times New Roman" w:hAnsi="Courier New" w:cs="Times New Roman"/>
      <w:sz w:val="20"/>
      <w:szCs w:val="20"/>
      <w:lang w:eastAsia="en-US"/>
    </w:rPr>
  </w:style>
  <w:style w:type="character" w:customStyle="1" w:styleId="MenuOption">
    <w:name w:val="Menu Option"/>
    <w:basedOn w:val="DefaultParagraphFont"/>
    <w:rsid w:val="006711EB"/>
    <w:rPr>
      <w:b/>
      <w:smallCaps/>
    </w:rPr>
  </w:style>
  <w:style w:type="paragraph" w:customStyle="1" w:styleId="TableListNumber">
    <w:name w:val="Table List Number"/>
    <w:basedOn w:val="ListNumber"/>
    <w:rsid w:val="006711EB"/>
    <w:pPr>
      <w:numPr>
        <w:numId w:val="0"/>
      </w:numPr>
    </w:pPr>
  </w:style>
  <w:style w:type="paragraph" w:styleId="TOC4">
    <w:name w:val="toc 4"/>
    <w:basedOn w:val="TOCBase"/>
    <w:next w:val="Normal"/>
    <w:semiHidden/>
    <w:rsid w:val="006711EB"/>
    <w:pPr>
      <w:tabs>
        <w:tab w:val="right" w:leader="dot" w:pos="9071"/>
      </w:tabs>
      <w:ind w:left="1701"/>
    </w:pPr>
  </w:style>
  <w:style w:type="paragraph" w:customStyle="1" w:styleId="ListAlpha">
    <w:name w:val="List Alpha"/>
    <w:basedOn w:val="List"/>
    <w:rsid w:val="006711EB"/>
    <w:pPr>
      <w:numPr>
        <w:numId w:val="9"/>
      </w:numPr>
    </w:pPr>
  </w:style>
  <w:style w:type="paragraph" w:customStyle="1" w:styleId="ListAlpha2">
    <w:name w:val="List Alpha 2"/>
    <w:basedOn w:val="List2"/>
    <w:rsid w:val="006711EB"/>
    <w:pPr>
      <w:numPr>
        <w:numId w:val="8"/>
      </w:numPr>
    </w:pPr>
  </w:style>
  <w:style w:type="paragraph" w:styleId="List2">
    <w:name w:val="List 2"/>
    <w:basedOn w:val="BodyText"/>
    <w:rsid w:val="006711EB"/>
    <w:pPr>
      <w:tabs>
        <w:tab w:val="left" w:pos="680"/>
      </w:tabs>
      <w:spacing w:before="60" w:after="60"/>
      <w:ind w:left="680" w:hanging="340"/>
    </w:pPr>
  </w:style>
  <w:style w:type="paragraph" w:styleId="List3">
    <w:name w:val="List 3"/>
    <w:basedOn w:val="BodyText"/>
    <w:rsid w:val="006711EB"/>
    <w:pPr>
      <w:tabs>
        <w:tab w:val="left" w:pos="1021"/>
      </w:tabs>
      <w:spacing w:before="60" w:after="60"/>
      <w:ind w:left="1020" w:hanging="340"/>
    </w:pPr>
  </w:style>
  <w:style w:type="paragraph" w:styleId="List4">
    <w:name w:val="List 4"/>
    <w:basedOn w:val="BodyText"/>
    <w:rsid w:val="006711EB"/>
    <w:pPr>
      <w:tabs>
        <w:tab w:val="left" w:pos="1361"/>
      </w:tabs>
      <w:spacing w:before="60" w:after="60"/>
      <w:ind w:left="1361" w:hanging="340"/>
    </w:pPr>
  </w:style>
  <w:style w:type="paragraph" w:styleId="List5">
    <w:name w:val="List 5"/>
    <w:basedOn w:val="BodyText"/>
    <w:rsid w:val="006711EB"/>
    <w:pPr>
      <w:tabs>
        <w:tab w:val="left" w:pos="1701"/>
      </w:tabs>
      <w:spacing w:before="60" w:after="60"/>
      <w:ind w:left="1701" w:hanging="340"/>
    </w:pPr>
  </w:style>
  <w:style w:type="paragraph" w:styleId="ListBullet3">
    <w:name w:val="List Bullet 3"/>
    <w:basedOn w:val="List3"/>
    <w:rsid w:val="006711EB"/>
    <w:pPr>
      <w:numPr>
        <w:numId w:val="15"/>
      </w:numPr>
      <w:tabs>
        <w:tab w:val="clear" w:pos="1021"/>
      </w:tabs>
      <w:ind w:left="1037" w:hanging="357"/>
    </w:pPr>
  </w:style>
  <w:style w:type="paragraph" w:styleId="ListBullet4">
    <w:name w:val="List Bullet 4"/>
    <w:basedOn w:val="List4"/>
    <w:rsid w:val="006711EB"/>
    <w:pPr>
      <w:numPr>
        <w:numId w:val="3"/>
      </w:numPr>
      <w:tabs>
        <w:tab w:val="clear" w:pos="1361"/>
      </w:tabs>
    </w:pPr>
  </w:style>
  <w:style w:type="paragraph" w:styleId="ListBullet5">
    <w:name w:val="List Bullet 5"/>
    <w:basedOn w:val="List5"/>
    <w:rsid w:val="006711EB"/>
    <w:pPr>
      <w:numPr>
        <w:numId w:val="4"/>
      </w:numPr>
    </w:pPr>
  </w:style>
  <w:style w:type="paragraph" w:styleId="ListContinue2">
    <w:name w:val="List Continue 2"/>
    <w:basedOn w:val="List2"/>
    <w:rsid w:val="006711EB"/>
    <w:pPr>
      <w:ind w:firstLine="0"/>
    </w:pPr>
  </w:style>
  <w:style w:type="paragraph" w:styleId="ListContinue3">
    <w:name w:val="List Continue 3"/>
    <w:basedOn w:val="List3"/>
    <w:rsid w:val="006711EB"/>
    <w:pPr>
      <w:ind w:left="1021" w:firstLine="0"/>
    </w:pPr>
  </w:style>
  <w:style w:type="paragraph" w:styleId="ListContinue4">
    <w:name w:val="List Continue 4"/>
    <w:basedOn w:val="List4"/>
    <w:rsid w:val="006711EB"/>
    <w:pPr>
      <w:ind w:firstLine="0"/>
    </w:pPr>
  </w:style>
  <w:style w:type="paragraph" w:styleId="ListContinue5">
    <w:name w:val="List Continue 5"/>
    <w:basedOn w:val="List5"/>
    <w:rsid w:val="006711EB"/>
    <w:pPr>
      <w:ind w:firstLine="0"/>
    </w:pPr>
  </w:style>
  <w:style w:type="paragraph" w:styleId="ListNumber3">
    <w:name w:val="List Number 3"/>
    <w:basedOn w:val="List3"/>
    <w:rsid w:val="006711EB"/>
    <w:pPr>
      <w:numPr>
        <w:numId w:val="5"/>
      </w:numPr>
    </w:pPr>
  </w:style>
  <w:style w:type="paragraph" w:styleId="ListNumber4">
    <w:name w:val="List Number 4"/>
    <w:basedOn w:val="List4"/>
    <w:rsid w:val="006711EB"/>
    <w:pPr>
      <w:numPr>
        <w:numId w:val="6"/>
      </w:numPr>
    </w:pPr>
  </w:style>
  <w:style w:type="paragraph" w:styleId="ListNumber5">
    <w:name w:val="List Number 5"/>
    <w:basedOn w:val="List5"/>
    <w:rsid w:val="006711EB"/>
    <w:pPr>
      <w:numPr>
        <w:numId w:val="7"/>
      </w:numPr>
    </w:pPr>
  </w:style>
  <w:style w:type="paragraph" w:styleId="BlockText">
    <w:name w:val="Block Text"/>
    <w:basedOn w:val="Normal"/>
    <w:rsid w:val="006711EB"/>
    <w:pPr>
      <w:spacing w:after="120"/>
      <w:ind w:left="1440" w:right="1440"/>
    </w:pPr>
  </w:style>
  <w:style w:type="character" w:customStyle="1" w:styleId="Subscript">
    <w:name w:val="Subscript"/>
    <w:basedOn w:val="DefaultParagraphFont"/>
    <w:rsid w:val="006711EB"/>
    <w:rPr>
      <w:sz w:val="16"/>
      <w:vertAlign w:val="subscript"/>
    </w:rPr>
  </w:style>
  <w:style w:type="character" w:customStyle="1" w:styleId="Superscript">
    <w:name w:val="Superscript"/>
    <w:basedOn w:val="DefaultParagraphFont"/>
    <w:rsid w:val="006711EB"/>
    <w:rPr>
      <w:sz w:val="16"/>
      <w:vertAlign w:val="superscript"/>
    </w:rPr>
  </w:style>
  <w:style w:type="character" w:customStyle="1" w:styleId="Symbols">
    <w:name w:val="Symbols"/>
    <w:basedOn w:val="DefaultParagraphFont"/>
    <w:rsid w:val="006711EB"/>
    <w:rPr>
      <w:rFonts w:ascii="Symbol" w:hAnsi="Symbol"/>
    </w:rPr>
  </w:style>
  <w:style w:type="character" w:customStyle="1" w:styleId="MenuOptions">
    <w:name w:val="Menu Options"/>
    <w:basedOn w:val="DefaultParagraphFont"/>
    <w:rsid w:val="006711EB"/>
    <w:rPr>
      <w:rFonts w:ascii="Arial Narrow" w:hAnsi="Arial Narrow"/>
      <w:smallCaps/>
    </w:rPr>
  </w:style>
  <w:style w:type="character" w:customStyle="1" w:styleId="Buttons">
    <w:name w:val="Buttons"/>
    <w:basedOn w:val="DefaultParagraphFont"/>
    <w:rsid w:val="006711EB"/>
    <w:rPr>
      <w:b/>
    </w:rPr>
  </w:style>
  <w:style w:type="character" w:customStyle="1" w:styleId="Underlined">
    <w:name w:val="Underlined"/>
    <w:basedOn w:val="DefaultParagraphFont"/>
    <w:rsid w:val="006711EB"/>
    <w:rPr>
      <w:u w:val="single"/>
    </w:rPr>
  </w:style>
  <w:style w:type="paragraph" w:customStyle="1" w:styleId="TableBodyTextRight">
    <w:name w:val="Table Body Text Right"/>
    <w:basedOn w:val="TableBodyText"/>
    <w:rsid w:val="006711EB"/>
    <w:pPr>
      <w:widowControl w:val="0"/>
      <w:autoSpaceDE w:val="0"/>
      <w:autoSpaceDN w:val="0"/>
      <w:adjustRightInd w:val="0"/>
      <w:jc w:val="right"/>
    </w:pPr>
    <w:rPr>
      <w:rFonts w:cs="Arial"/>
      <w:szCs w:val="18"/>
    </w:rPr>
  </w:style>
  <w:style w:type="paragraph" w:customStyle="1" w:styleId="CopyrightText">
    <w:name w:val="Copyright Text"/>
    <w:basedOn w:val="BodyText"/>
    <w:rsid w:val="006711EB"/>
    <w:rPr>
      <w:sz w:val="18"/>
    </w:rPr>
  </w:style>
  <w:style w:type="paragraph" w:customStyle="1" w:styleId="BodySmallRight">
    <w:name w:val="Body Small Right"/>
    <w:basedOn w:val="BodyTextRight"/>
    <w:rsid w:val="006711EB"/>
    <w:rPr>
      <w:sz w:val="18"/>
      <w:szCs w:val="18"/>
    </w:rPr>
  </w:style>
  <w:style w:type="paragraph" w:customStyle="1" w:styleId="MarginEdition">
    <w:name w:val="Margin Edition"/>
    <w:basedOn w:val="MarginNote"/>
    <w:rsid w:val="006711EB"/>
    <w:pPr>
      <w:spacing w:before="0" w:after="0"/>
    </w:pPr>
    <w:rPr>
      <w:rFonts w:ascii="Times New Roman" w:hAnsi="Times New Roman"/>
      <w:color w:val="999999"/>
    </w:rPr>
  </w:style>
  <w:style w:type="paragraph" w:customStyle="1" w:styleId="Spacer">
    <w:name w:val="Spacer"/>
    <w:basedOn w:val="Normal"/>
    <w:rsid w:val="006711EB"/>
    <w:rPr>
      <w:sz w:val="2"/>
      <w:szCs w:val="2"/>
    </w:rPr>
  </w:style>
  <w:style w:type="character" w:customStyle="1" w:styleId="Small">
    <w:name w:val="Small"/>
    <w:basedOn w:val="DefaultParagraphFont"/>
    <w:rsid w:val="006711EB"/>
    <w:rPr>
      <w:sz w:val="16"/>
    </w:rPr>
  </w:style>
  <w:style w:type="paragraph" w:customStyle="1" w:styleId="WideTable">
    <w:name w:val="Wide Table"/>
    <w:basedOn w:val="Normal"/>
    <w:rsid w:val="006711EB"/>
    <w:pPr>
      <w:ind w:left="-1418"/>
    </w:pPr>
    <w:rPr>
      <w:sz w:val="2"/>
      <w:szCs w:val="2"/>
    </w:rPr>
  </w:style>
  <w:style w:type="character" w:styleId="PageNumber">
    <w:name w:val="page number"/>
    <w:basedOn w:val="DefaultParagraphFont"/>
    <w:rsid w:val="006711EB"/>
  </w:style>
  <w:style w:type="paragraph" w:styleId="Quote">
    <w:name w:val="Quote"/>
    <w:basedOn w:val="Heading1"/>
    <w:link w:val="QuoteChar"/>
    <w:qFormat/>
    <w:rsid w:val="006711EB"/>
    <w:rPr>
      <w:b w:val="0"/>
      <w:sz w:val="72"/>
      <w:szCs w:val="72"/>
      <w:lang w:val="en-NZ"/>
    </w:rPr>
  </w:style>
  <w:style w:type="character" w:customStyle="1" w:styleId="QuoteChar">
    <w:name w:val="Quote Char"/>
    <w:basedOn w:val="DefaultParagraphFont"/>
    <w:link w:val="Quote"/>
    <w:rsid w:val="00671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1EB"/>
    <w:pPr>
      <w:pageBreakBefore/>
    </w:pPr>
  </w:style>
  <w:style w:type="paragraph" w:customStyle="1" w:styleId="Border">
    <w:name w:val="Border"/>
    <w:basedOn w:val="Normal"/>
    <w:qFormat/>
    <w:rsid w:val="00671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1EB"/>
    <w:rPr>
      <w:b/>
      <w:bCs/>
      <w:i/>
      <w:iCs/>
      <w:color w:val="auto"/>
    </w:rPr>
  </w:style>
  <w:style w:type="paragraph" w:styleId="IntenseQuote">
    <w:name w:val="Intense Quote"/>
    <w:basedOn w:val="Normal"/>
    <w:next w:val="Normal"/>
    <w:link w:val="IntenseQuoteChar"/>
    <w:uiPriority w:val="30"/>
    <w:qFormat/>
    <w:rsid w:val="00671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1EB"/>
    <w:rPr>
      <w:smallCaps/>
      <w:color w:val="auto"/>
      <w:u w:val="single"/>
    </w:rPr>
  </w:style>
  <w:style w:type="character" w:styleId="IntenseReference">
    <w:name w:val="Intense Reference"/>
    <w:basedOn w:val="DefaultParagraphFont"/>
    <w:uiPriority w:val="32"/>
    <w:qFormat/>
    <w:rsid w:val="006711EB"/>
    <w:rPr>
      <w:b/>
      <w:bCs/>
      <w:smallCaps/>
      <w:color w:val="auto"/>
      <w:spacing w:val="5"/>
      <w:u w:val="single"/>
    </w:rPr>
  </w:style>
  <w:style w:type="paragraph" w:customStyle="1" w:styleId="2ColumnHeading">
    <w:name w:val="2Column Heading"/>
    <w:basedOn w:val="BodyText"/>
    <w:qFormat/>
    <w:rsid w:val="006711EB"/>
    <w:pPr>
      <w:spacing w:after="60"/>
      <w:ind w:left="-2268"/>
    </w:pPr>
    <w:rPr>
      <w:b/>
    </w:rPr>
  </w:style>
  <w:style w:type="paragraph" w:customStyle="1" w:styleId="Heading1TOC">
    <w:name w:val="Heading1 TOC"/>
    <w:basedOn w:val="Normal"/>
    <w:qFormat/>
    <w:rsid w:val="006711EB"/>
    <w:pPr>
      <w:spacing w:before="240" w:after="120"/>
    </w:pPr>
    <w:rPr>
      <w:rFonts w:ascii="Times New Roman" w:hAnsi="Times New Roman"/>
      <w:b/>
      <w:sz w:val="32"/>
    </w:rPr>
  </w:style>
  <w:style w:type="paragraph" w:customStyle="1" w:styleId="Heading2TOC">
    <w:name w:val="Heading2 TOC"/>
    <w:basedOn w:val="Normal"/>
    <w:qFormat/>
    <w:rsid w:val="006711EB"/>
    <w:pPr>
      <w:spacing w:before="240" w:after="60"/>
    </w:pPr>
    <w:rPr>
      <w:rFonts w:ascii="Times New Roman" w:hAnsi="Times New Roman"/>
      <w:b/>
      <w:sz w:val="28"/>
    </w:rPr>
  </w:style>
  <w:style w:type="character" w:customStyle="1" w:styleId="Underline">
    <w:name w:val="Underline"/>
    <w:basedOn w:val="DefaultParagraphFont"/>
    <w:qFormat/>
    <w:rsid w:val="006711EB"/>
    <w:rPr>
      <w:u w:val="single"/>
    </w:rPr>
  </w:style>
  <w:style w:type="character" w:customStyle="1" w:styleId="BoldandItalics">
    <w:name w:val="Bold and Italics"/>
    <w:qFormat/>
    <w:rsid w:val="006711EB"/>
    <w:rPr>
      <w:b/>
      <w:i/>
      <w:u w:val="none"/>
    </w:rPr>
  </w:style>
  <w:style w:type="paragraph" w:styleId="BalloonText">
    <w:name w:val="Balloon Text"/>
    <w:basedOn w:val="Normal"/>
    <w:link w:val="BalloonTextChar"/>
    <w:rsid w:val="006711EB"/>
    <w:rPr>
      <w:rFonts w:ascii="Tahoma" w:hAnsi="Tahoma" w:cs="Tahoma"/>
      <w:sz w:val="16"/>
      <w:szCs w:val="16"/>
    </w:rPr>
  </w:style>
  <w:style w:type="character" w:customStyle="1" w:styleId="BalloonTextChar">
    <w:name w:val="Balloon Text Char"/>
    <w:basedOn w:val="DefaultParagraphFont"/>
    <w:link w:val="BalloonText"/>
    <w:rsid w:val="00671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1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1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1EB"/>
    <w:rPr>
      <w:b/>
      <w:color w:val="660033"/>
      <w:spacing w:val="0"/>
    </w:rPr>
  </w:style>
  <w:style w:type="paragraph" w:customStyle="1" w:styleId="Nameditemlist">
    <w:name w:val="Named item list"/>
    <w:basedOn w:val="BodyText"/>
    <w:qFormat/>
    <w:rsid w:val="006711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1044</Words>
  <Characters>6678</Characters>
  <Application>Microsoft Office Word</Application>
  <DocSecurity>0</DocSecurity>
  <Lines>317</Lines>
  <Paragraphs>180</Paragraphs>
  <ScaleCrop>false</ScaleCrop>
  <Company>Author-it Software Corporation Ltd.</Company>
  <LinksUpToDate>false</LinksUpToDate>
  <CharactersWithSpaces>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MSFPF2004 Mount artwork</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2016-12-09T03:50:00Z</dcterms:created>
  <dcterms:modified xsi:type="dcterms:W3CDTF">2016-12-09T03:50:00Z</dcterms:modified>
</cp:coreProperties>
</file>