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6FDB" w:rsidP="00C96FDB">
      <w:pPr>
        <w:pStyle w:val="Title"/>
      </w:pPr>
      <w:r>
        <w:fldChar w:fldCharType="begin"/>
      </w:r>
      <w:r>
        <w:instrText xml:space="preserve"> TITLE   \* MERGEFORMAT </w:instrText>
      </w:r>
      <w:r>
        <w:fldChar w:fldCharType="separate"/>
      </w:r>
      <w:r>
        <w:t>MSFMB2001 Prepare and assemble base unit</w:t>
      </w:r>
      <w:r>
        <w:fldChar w:fldCharType="end"/>
      </w:r>
    </w:p>
    <w:p w:rsidR="00C96FDB" w:rsidP="00C96FDB">
      <w:pPr>
        <w:pStyle w:val="Version"/>
        <w:sectPr w:rsidSect="00BC30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3017" w:rsidP="00BC3017">
      <w:pPr>
        <w:pStyle w:val="SuperHeading"/>
      </w:pPr>
      <w:r w:rsidRPr="00BC3017">
        <w:t>MSFMB2001 Prepare and assemble base unit</w:t>
      </w:r>
    </w:p>
    <w:p w:rsidR="00000000" w:rsidRPr="00BC3017" w:rsidP="00BC3017">
      <w:pPr>
        <w:pStyle w:val="Heading1"/>
      </w:pPr>
      <w:bookmarkStart w:id="1" w:name="O_626669"/>
      <w:bookmarkEnd w:id="1"/>
      <w:r w:rsidRPr="00BC3017">
        <w:t>Modification History</w:t>
      </w:r>
    </w:p>
    <w:p w:rsidR="00000000" w:rsidRPr="00BC3017" w:rsidP="00C96FDB">
      <w:pPr>
        <w:pStyle w:val="BodyText"/>
      </w:pPr>
      <w:r w:rsidRPr="00BC3017">
        <w:t>Release 1 - New unit of competency</w:t>
      </w:r>
    </w:p>
    <w:p w:rsidR="00000000" w:rsidRPr="00BC3017" w:rsidP="00BC3017">
      <w:pPr>
        <w:pStyle w:val="Heading1"/>
      </w:pPr>
      <w:bookmarkStart w:id="2" w:name="O_626677"/>
      <w:bookmarkEnd w:id="2"/>
      <w:r w:rsidRPr="00BC3017">
        <w:t>Application</w:t>
      </w:r>
    </w:p>
    <w:p w:rsidR="00000000" w:rsidRPr="00BC3017" w:rsidP="00C96FDB">
      <w:pPr>
        <w:pStyle w:val="BodyText"/>
      </w:pPr>
      <w:r w:rsidRPr="00BC3017">
        <w:t>This unit of competency covers assembling components to construct bases for mattresses, including timber platforms, webbing, coil springs, grid wires, foam and padding.</w:t>
      </w:r>
    </w:p>
    <w:p w:rsidR="00000000" w:rsidRPr="00BC3017" w:rsidP="00C96FDB">
      <w:pPr>
        <w:pStyle w:val="BodyText"/>
      </w:pPr>
      <w:r w:rsidRPr="00BC3017">
        <w:t>N</w:t>
      </w:r>
      <w:r w:rsidRPr="00BC3017">
        <w:t>o licensing, legislative or certification requirements apply to this unit at the time of publication.</w:t>
      </w:r>
    </w:p>
    <w:p w:rsidR="00000000" w:rsidRPr="00BC3017" w:rsidP="00BC3017">
      <w:pPr>
        <w:pStyle w:val="Heading1"/>
      </w:pPr>
      <w:bookmarkStart w:id="3" w:name="O_626676"/>
      <w:bookmarkEnd w:id="3"/>
      <w:r w:rsidRPr="00BC3017">
        <w:t>Pre-requisite Unit</w:t>
      </w:r>
    </w:p>
    <w:p w:rsidR="00000000" w:rsidRPr="00BC3017" w:rsidP="00BC3017">
      <w:pPr>
        <w:pStyle w:val="Heading1"/>
      </w:pPr>
      <w:bookmarkStart w:id="4" w:name="O_626675"/>
      <w:bookmarkEnd w:id="4"/>
      <w:r w:rsidRPr="00BC3017">
        <w:t>Competency Field</w:t>
      </w:r>
    </w:p>
    <w:p w:rsidR="00000000" w:rsidRPr="00BC3017" w:rsidP="00BC3017">
      <w:pPr>
        <w:pStyle w:val="Heading1"/>
      </w:pPr>
      <w:bookmarkStart w:id="5" w:name="O_626674"/>
      <w:bookmarkEnd w:id="5"/>
      <w:r w:rsidRPr="00BC3017">
        <w:t>Unit Sector</w:t>
      </w:r>
    </w:p>
    <w:p w:rsidR="00000000" w:rsidRPr="00BC3017" w:rsidP="00C96FDB">
      <w:pPr>
        <w:pStyle w:val="BodyText"/>
      </w:pPr>
      <w:r w:rsidRPr="00BC3017">
        <w:t>Mattress and Base Making</w:t>
      </w:r>
    </w:p>
    <w:p w:rsidR="00000000" w:rsidRPr="00BC3017" w:rsidP="00BC3017">
      <w:pPr>
        <w:pStyle w:val="Heading1"/>
      </w:pPr>
      <w:bookmarkStart w:id="6" w:name="O_626673"/>
      <w:bookmarkEnd w:id="6"/>
      <w:r w:rsidRPr="00BC3017">
        <w:t>Elements and Pe</w:t>
      </w:r>
      <w:r w:rsidRPr="00BC3017">
        <w:t>rformance Criteria</w:t>
      </w:r>
    </w:p>
    <w:tbl>
      <w:tblPr>
        <w:tblW w:w="9286" w:type="dxa"/>
        <w:tblLayout w:type="fixed"/>
        <w:tblCellMar>
          <w:left w:w="62" w:type="dxa"/>
          <w:right w:w="62" w:type="dxa"/>
        </w:tblCellMar>
        <w:tblLook w:val="0000"/>
      </w:tblPr>
      <w:tblGrid>
        <w:gridCol w:w="517"/>
        <w:gridCol w:w="2242"/>
        <w:gridCol w:w="661"/>
        <w:gridCol w:w="5866"/>
      </w:tblGrid>
      <w:tr w:rsidTr="00BC3017">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Performance criteria describe the performance needed to demonstrate achievement of the element.</w:t>
            </w:r>
          </w:p>
        </w:tc>
      </w:tr>
      <w:tr w:rsidTr="00BC3017">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1</w:t>
            </w:r>
          </w:p>
        </w:tc>
        <w:tc>
          <w:tcPr>
            <w:tcW w:w="2242"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Prepare for base assembly</w:t>
            </w:r>
          </w:p>
        </w:tc>
        <w:tc>
          <w:tcPr>
            <w:tcW w:w="661"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1.1</w:t>
            </w:r>
          </w:p>
        </w:tc>
        <w:tc>
          <w:tcPr>
            <w:tcW w:w="5866"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Specifications are used to determine job requirements, including design, tolerances, process, materials, finish and quantity</w:t>
            </w:r>
          </w:p>
        </w:tc>
      </w:tr>
      <w:tr w:rsidTr="00BC3017">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1.2</w:t>
            </w:r>
          </w:p>
        </w:tc>
        <w:tc>
          <w:tcPr>
            <w:tcW w:w="5866"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Assembly sequence is planned</w:t>
            </w:r>
          </w:p>
        </w:tc>
      </w:tr>
      <w:tr w:rsidTr="00BC3017">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1.3</w:t>
            </w:r>
          </w:p>
        </w:tc>
        <w:tc>
          <w:tcPr>
            <w:tcW w:w="5866"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Work health and safety (WHS) requirements, including personal protection needs, are obse</w:t>
            </w:r>
            <w:r w:rsidRPr="00BC3017">
              <w:t>rved throughout the work</w:t>
            </w:r>
          </w:p>
        </w:tc>
      </w:tr>
      <w:tr w:rsidTr="00BC3017">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1.4</w:t>
            </w:r>
          </w:p>
        </w:tc>
        <w:tc>
          <w:tcPr>
            <w:tcW w:w="5866"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Procedures are determined for checking quality at each stage of the process</w:t>
            </w:r>
          </w:p>
        </w:tc>
      </w:tr>
      <w:tr w:rsidTr="00BC3017">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1.5</w:t>
            </w:r>
          </w:p>
        </w:tc>
        <w:tc>
          <w:tcPr>
            <w:tcW w:w="5866"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Fixing devices are selected in line with work instructions and type of materials to be joined</w:t>
            </w:r>
          </w:p>
        </w:tc>
      </w:tr>
      <w:tr w:rsidTr="00BC3017">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1.6</w:t>
            </w:r>
          </w:p>
        </w:tc>
        <w:tc>
          <w:tcPr>
            <w:tcW w:w="5866"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Co</w:t>
            </w:r>
            <w:r w:rsidRPr="00BC3017">
              <w:t>mponents, hardware, fittings and attachments are collected</w:t>
            </w:r>
          </w:p>
        </w:tc>
      </w:tr>
      <w:tr w:rsidTr="00BC3017">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1.7</w:t>
            </w:r>
          </w:p>
        </w:tc>
        <w:tc>
          <w:tcPr>
            <w:tcW w:w="5866"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Tools and equipment suitable to the fixing method are selected and checked for safe operation</w:t>
            </w:r>
          </w:p>
        </w:tc>
      </w:tr>
      <w:tr w:rsidTr="00BC3017">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1.8</w:t>
            </w:r>
          </w:p>
        </w:tc>
        <w:tc>
          <w:tcPr>
            <w:tcW w:w="5866"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Appropriate jigs are selected</w:t>
            </w:r>
          </w:p>
        </w:tc>
      </w:tr>
      <w:tr w:rsidTr="00BC3017">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2</w:t>
            </w:r>
          </w:p>
        </w:tc>
        <w:tc>
          <w:tcPr>
            <w:tcW w:w="2242"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Assemble base components</w:t>
            </w:r>
          </w:p>
        </w:tc>
        <w:tc>
          <w:tcPr>
            <w:tcW w:w="661"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2.1</w:t>
            </w:r>
          </w:p>
        </w:tc>
        <w:tc>
          <w:tcPr>
            <w:tcW w:w="5866"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Components are laid out and assembled using jigs and appropriate fastenings</w:t>
            </w:r>
          </w:p>
        </w:tc>
      </w:tr>
      <w:tr w:rsidTr="00BC3017">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2.2</w:t>
            </w:r>
          </w:p>
        </w:tc>
        <w:tc>
          <w:tcPr>
            <w:tcW w:w="5866"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Hand and/or power tools, equipment are used as required</w:t>
            </w:r>
          </w:p>
        </w:tc>
      </w:tr>
      <w:tr w:rsidTr="00BC3017">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2.3</w:t>
            </w:r>
          </w:p>
        </w:tc>
        <w:tc>
          <w:tcPr>
            <w:tcW w:w="5866"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Assembled base is checked for compliance with specifications</w:t>
            </w:r>
          </w:p>
        </w:tc>
      </w:tr>
      <w:tr w:rsidTr="00BC3017">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2.4</w:t>
            </w:r>
          </w:p>
        </w:tc>
        <w:tc>
          <w:tcPr>
            <w:tcW w:w="5866"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Spring grid/unit is attached to base</w:t>
            </w:r>
          </w:p>
        </w:tc>
      </w:tr>
      <w:tr w:rsidTr="00BC3017">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2.5</w:t>
            </w:r>
          </w:p>
        </w:tc>
        <w:tc>
          <w:tcPr>
            <w:tcW w:w="5866"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Fabric is upholstered to base according to specifications</w:t>
            </w:r>
          </w:p>
        </w:tc>
      </w:tr>
      <w:tr w:rsidTr="00BC3017">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2.6</w:t>
            </w:r>
          </w:p>
        </w:tc>
        <w:tc>
          <w:tcPr>
            <w:tcW w:w="5866"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Base is finished to eliminate all excess materials</w:t>
            </w:r>
          </w:p>
        </w:tc>
      </w:tr>
      <w:tr w:rsidTr="00BC3017">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2.7</w:t>
            </w:r>
          </w:p>
        </w:tc>
        <w:tc>
          <w:tcPr>
            <w:tcW w:w="5866"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Bases which do not meet quality specifications are repaired or tagged for further processing or recycling/disposal</w:t>
            </w:r>
          </w:p>
        </w:tc>
      </w:tr>
      <w:tr w:rsidTr="00BC3017">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3</w:t>
            </w:r>
          </w:p>
        </w:tc>
        <w:tc>
          <w:tcPr>
            <w:tcW w:w="2242"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Identify qu</w:t>
            </w:r>
            <w:r w:rsidRPr="00BC3017">
              <w:t>ality requirements</w:t>
            </w:r>
          </w:p>
        </w:tc>
        <w:tc>
          <w:tcPr>
            <w:tcW w:w="661"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3.1</w:t>
            </w:r>
          </w:p>
        </w:tc>
        <w:tc>
          <w:tcPr>
            <w:tcW w:w="5866"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Process is monitored and conditions which may affect quality standards are noted</w:t>
            </w:r>
          </w:p>
        </w:tc>
      </w:tr>
      <w:tr w:rsidTr="00BC3017">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3.2</w:t>
            </w:r>
          </w:p>
        </w:tc>
        <w:tc>
          <w:tcPr>
            <w:tcW w:w="5866"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Variations to normal activities are reported in accordance with workplace procedures</w:t>
            </w:r>
          </w:p>
        </w:tc>
      </w:tr>
      <w:tr w:rsidTr="00BC3017">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3.3</w:t>
            </w:r>
          </w:p>
        </w:tc>
        <w:tc>
          <w:tcPr>
            <w:tcW w:w="5866"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Authorised changes in standard operating procedures and work order or instructions are implemented</w:t>
            </w:r>
          </w:p>
        </w:tc>
      </w:tr>
      <w:tr w:rsidTr="00BC3017">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3.4</w:t>
            </w:r>
          </w:p>
        </w:tc>
        <w:tc>
          <w:tcPr>
            <w:tcW w:w="5866"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Workplace required documentation is completed and stored following appropriate procedures</w:t>
            </w:r>
          </w:p>
        </w:tc>
      </w:tr>
      <w:tr w:rsidTr="00BC3017">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4</w:t>
            </w:r>
          </w:p>
        </w:tc>
        <w:tc>
          <w:tcPr>
            <w:tcW w:w="2242"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Clean work area/s and maintain equipment</w:t>
            </w:r>
          </w:p>
        </w:tc>
        <w:tc>
          <w:tcPr>
            <w:tcW w:w="661"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4.1</w:t>
            </w:r>
          </w:p>
        </w:tc>
        <w:tc>
          <w:tcPr>
            <w:tcW w:w="5866"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Faulty and/o</w:t>
            </w:r>
            <w:r w:rsidRPr="00BC3017">
              <w:t>r defective equipment is tagged and reported in accordance with WHS procedures</w:t>
            </w:r>
          </w:p>
        </w:tc>
      </w:tr>
      <w:tr w:rsidTr="00BC3017">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4.2</w:t>
            </w:r>
          </w:p>
        </w:tc>
        <w:tc>
          <w:tcPr>
            <w:tcW w:w="5866"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Waste and scrap is removed following workplace procedures</w:t>
            </w:r>
          </w:p>
        </w:tc>
      </w:tr>
      <w:tr w:rsidTr="00BC3017">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4.3</w:t>
            </w:r>
          </w:p>
        </w:tc>
        <w:tc>
          <w:tcPr>
            <w:tcW w:w="5866"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Tools and equipment used are cleaned, inspected for serviceable condition and stored appropriately in accordance with workplace procedures</w:t>
            </w:r>
          </w:p>
        </w:tc>
      </w:tr>
      <w:tr w:rsidTr="00BC3017">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4.4</w:t>
            </w:r>
          </w:p>
        </w:tc>
        <w:tc>
          <w:tcPr>
            <w:tcW w:w="5866" w:type="dxa"/>
            <w:tcBorders>
              <w:top w:val="nil"/>
              <w:left w:val="nil"/>
              <w:bottom w:val="nil"/>
              <w:right w:val="nil"/>
            </w:tcBorders>
            <w:tcMar>
              <w:top w:w="0" w:type="dxa"/>
              <w:left w:w="62" w:type="dxa"/>
              <w:bottom w:w="0" w:type="dxa"/>
              <w:right w:w="62" w:type="dxa"/>
            </w:tcMar>
          </w:tcPr>
          <w:p w:rsidR="00000000" w:rsidRPr="00BC3017" w:rsidP="00BC3017">
            <w:pPr>
              <w:pStyle w:val="BodyText"/>
            </w:pPr>
            <w:r w:rsidRPr="00BC3017">
              <w:t>Equipment and work area clean-up is maintained in accordance with workplace procedures</w:t>
            </w:r>
          </w:p>
        </w:tc>
      </w:tr>
    </w:tbl>
    <w:p w:rsidR="00000000" w:rsidRPr="00BC3017" w:rsidP="00BC3017">
      <w:pPr>
        <w:pStyle w:val="BodyText"/>
      </w:pPr>
    </w:p>
    <w:p w:rsidR="00000000" w:rsidRPr="00BC3017" w:rsidP="00BC3017">
      <w:pPr>
        <w:pStyle w:val="AllowPageBreak"/>
      </w:pPr>
    </w:p>
    <w:p w:rsidR="00000000" w:rsidRPr="00BC3017" w:rsidP="00BC3017">
      <w:pPr>
        <w:pStyle w:val="Heading1"/>
      </w:pPr>
      <w:bookmarkStart w:id="7" w:name="O_626672"/>
      <w:bookmarkEnd w:id="7"/>
      <w:r w:rsidRPr="00BC3017">
        <w:t>Foun</w:t>
      </w:r>
      <w:r w:rsidRPr="00BC3017">
        <w:t>dation Skills</w:t>
      </w:r>
    </w:p>
    <w:p w:rsidR="00000000" w:rsidRPr="00BC3017" w:rsidP="00C96FDB">
      <w:pPr>
        <w:pStyle w:val="BodyText"/>
      </w:pPr>
      <w:r w:rsidRPr="00BC3017">
        <w:t>Foundation skills essential to performance are explicit in the performance criteria of this unit of competency. Detail on appropriate performance levels for each furnishing unit of competency in reading, writing, oral communication and numera</w:t>
      </w:r>
      <w:r w:rsidRPr="00BC3017">
        <w:t>cy utilising the Australian Core Skills Framework (ACSF) are provided in the Furnishing Training Package Implementation Guide.</w:t>
      </w:r>
    </w:p>
    <w:p w:rsidR="00000000" w:rsidRPr="00BC3017" w:rsidP="00BC3017">
      <w:pPr>
        <w:pStyle w:val="Heading1"/>
      </w:pPr>
      <w:bookmarkStart w:id="8" w:name="O_626671"/>
      <w:bookmarkEnd w:id="8"/>
      <w:r w:rsidRPr="00BC3017">
        <w:t>Range of Conditions</w:t>
      </w:r>
    </w:p>
    <w:tbl>
      <w:tblPr>
        <w:tblW w:w="0" w:type="auto"/>
        <w:tblLayout w:type="fixed"/>
        <w:tblCellMar>
          <w:left w:w="62" w:type="dxa"/>
          <w:right w:w="62" w:type="dxa"/>
        </w:tblCellMar>
        <w:tblLook w:val="0000"/>
      </w:tblPr>
      <w:tblGrid>
        <w:gridCol w:w="2760"/>
        <w:gridCol w:w="6312"/>
      </w:tblGrid>
      <w:tr w:rsidTr="00BC30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t xml:space="preserve">Specifies different work environments and conditions that may affect performance. Essential </w:t>
            </w:r>
            <w:r w:rsidRPr="00BC3017">
              <w:t>operating conditions that may be present (depending on the work situation, needs of the candidate, accessibility of the item, and local industry and regional contexts) are included. Range is restricted to essential operating conditions and any other variab</w:t>
            </w:r>
            <w:r w:rsidRPr="00BC3017">
              <w:t>les essential to the work environment.</w:t>
            </w:r>
          </w:p>
        </w:tc>
      </w:tr>
      <w:tr w:rsidTr="00BC30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C3017" w:rsidP="00BC3017">
            <w:pPr>
              <w:pStyle w:val="ListBullet"/>
            </w:pPr>
            <w:r w:rsidRPr="00BC3017">
              <w:t xml:space="preserve">WHS requirements, including legislation, building codes, material safety management systems, hazardous and dangerous goods codes, and local safe operating procedures or equivalent </w:t>
            </w:r>
          </w:p>
          <w:p w:rsidR="00000000" w:rsidRPr="00BC3017" w:rsidP="00BC3017">
            <w:pPr>
              <w:pStyle w:val="ListBullet"/>
            </w:pPr>
            <w:r w:rsidRPr="00BC3017">
              <w:t>work is carried out in accordance with legislative obligations, environmental legislation, relevant health regulations, manual handling procedures and organisation insurance requirements</w:t>
            </w:r>
          </w:p>
          <w:p w:rsidR="00000000" w:rsidP="00BC3017">
            <w:pPr>
              <w:pStyle w:val="ListBullet"/>
              <w:rPr>
                <w:lang w:val="en-NZ"/>
              </w:rPr>
            </w:pPr>
            <w:r w:rsidRPr="00BC3017">
              <w:t>work requires individuals to demonstrate some discretion, judgement a</w:t>
            </w:r>
            <w:r w:rsidRPr="00BC3017">
              <w:t xml:space="preserve">nd problem solving </w:t>
            </w:r>
          </w:p>
        </w:tc>
      </w:tr>
      <w:tr w:rsidTr="00BC30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C3017" w:rsidP="00BC3017">
            <w:pPr>
              <w:pStyle w:val="BodyText"/>
            </w:pPr>
            <w:r w:rsidRPr="00BC3017">
              <w:rPr>
                <w:rStyle w:val="SpecialBold"/>
              </w:rPr>
              <w:t>Tools and equipment include:</w:t>
            </w:r>
          </w:p>
          <w:p w:rsidR="00000000" w:rsidP="00BC301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C3017" w:rsidP="00BC3017">
            <w:pPr>
              <w:pStyle w:val="ListBullet"/>
            </w:pPr>
            <w:r w:rsidRPr="00BC3017">
              <w:t>measuring tapes or rules</w:t>
            </w:r>
          </w:p>
          <w:p w:rsidR="00000000" w:rsidRPr="00BC3017" w:rsidP="00BC3017">
            <w:pPr>
              <w:pStyle w:val="ListBullet"/>
            </w:pPr>
            <w:r w:rsidRPr="00BC3017">
              <w:t>scissors</w:t>
            </w:r>
          </w:p>
          <w:p w:rsidR="00000000" w:rsidRPr="00BC3017" w:rsidP="00BC3017">
            <w:pPr>
              <w:pStyle w:val="ListBullet"/>
            </w:pPr>
            <w:r w:rsidRPr="00BC3017">
              <w:t>staple gun</w:t>
            </w:r>
          </w:p>
          <w:p w:rsidR="00000000" w:rsidRPr="00BC3017" w:rsidP="00BC3017">
            <w:pPr>
              <w:pStyle w:val="ListBullet"/>
            </w:pPr>
            <w:r w:rsidRPr="00BC3017">
              <w:t>pincers</w:t>
            </w:r>
          </w:p>
          <w:p w:rsidR="00000000" w:rsidRPr="00BC3017" w:rsidP="00BC3017">
            <w:pPr>
              <w:pStyle w:val="ListBullet"/>
            </w:pPr>
            <w:r w:rsidRPr="00BC3017">
              <w:t>long-nose pliers</w:t>
            </w:r>
          </w:p>
          <w:p w:rsidR="00000000" w:rsidRPr="00BC3017" w:rsidP="00BC3017">
            <w:pPr>
              <w:pStyle w:val="ListBullet"/>
            </w:pPr>
            <w:r w:rsidRPr="00BC3017">
              <w:t>hammers</w:t>
            </w:r>
          </w:p>
          <w:p w:rsidR="00000000" w:rsidRPr="00BC3017" w:rsidP="00BC3017">
            <w:pPr>
              <w:pStyle w:val="ListBullet"/>
            </w:pPr>
            <w:r w:rsidRPr="00BC3017">
              <w:t>mallets</w:t>
            </w:r>
          </w:p>
          <w:p w:rsidR="00000000" w:rsidRPr="00BC3017" w:rsidP="00BC3017">
            <w:pPr>
              <w:pStyle w:val="ListBullet"/>
            </w:pPr>
            <w:r w:rsidRPr="00BC3017">
              <w:t>squares</w:t>
            </w:r>
          </w:p>
          <w:p w:rsidR="00000000" w:rsidRPr="00BC3017" w:rsidP="00BC3017">
            <w:pPr>
              <w:pStyle w:val="ListBullet"/>
            </w:pPr>
            <w:r w:rsidRPr="00BC3017">
              <w:t>bevels</w:t>
            </w:r>
          </w:p>
          <w:p w:rsidR="00000000" w:rsidRPr="00BC3017" w:rsidP="00BC3017">
            <w:pPr>
              <w:pStyle w:val="ListBullet"/>
            </w:pPr>
            <w:r w:rsidRPr="00BC3017">
              <w:t>chisels</w:t>
            </w:r>
          </w:p>
          <w:p w:rsidR="00000000" w:rsidRPr="00BC3017" w:rsidP="00BC3017">
            <w:pPr>
              <w:pStyle w:val="ListBullet"/>
            </w:pPr>
            <w:r w:rsidRPr="00BC3017">
              <w:t>plane</w:t>
            </w:r>
          </w:p>
          <w:p w:rsidR="00000000" w:rsidRPr="00BC3017" w:rsidP="00BC3017">
            <w:pPr>
              <w:pStyle w:val="ListBullet"/>
            </w:pPr>
            <w:r w:rsidRPr="00BC3017">
              <w:t>hand saws</w:t>
            </w:r>
          </w:p>
          <w:p w:rsidR="00000000" w:rsidRPr="00BC3017" w:rsidP="00BC3017">
            <w:pPr>
              <w:pStyle w:val="ListBullet"/>
            </w:pPr>
            <w:r w:rsidRPr="00BC3017">
              <w:t>power saws</w:t>
            </w:r>
          </w:p>
          <w:p w:rsidR="00000000" w:rsidRPr="00BC3017" w:rsidP="00BC3017">
            <w:pPr>
              <w:pStyle w:val="ListBullet"/>
            </w:pPr>
            <w:r w:rsidRPr="00BC3017">
              <w:t>power drills/screwdrivers</w:t>
            </w:r>
          </w:p>
          <w:p w:rsidR="00000000" w:rsidP="00BC3017">
            <w:pPr>
              <w:pStyle w:val="ListBullet"/>
              <w:rPr>
                <w:lang w:val="en-NZ"/>
              </w:rPr>
            </w:pPr>
            <w:r w:rsidRPr="00BC3017">
              <w:t>clamps and screwdrivers</w:t>
            </w:r>
          </w:p>
        </w:tc>
      </w:tr>
      <w:tr w:rsidTr="00BC30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C3017" w:rsidP="00BC3017">
            <w:pPr>
              <w:pStyle w:val="BodyText"/>
            </w:pPr>
            <w:r w:rsidRPr="00BC3017">
              <w:rPr>
                <w:rStyle w:val="SpecialBold"/>
              </w:rPr>
              <w:t>Ma</w:t>
            </w:r>
            <w:r w:rsidRPr="00BC3017">
              <w:rPr>
                <w:rStyle w:val="SpecialBold"/>
              </w:rPr>
              <w:t>terials include:</w:t>
            </w:r>
          </w:p>
          <w:p w:rsidR="00000000" w:rsidP="00BC301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C3017" w:rsidP="00BC3017">
            <w:pPr>
              <w:pStyle w:val="ListBullet"/>
            </w:pPr>
            <w:r w:rsidRPr="00BC3017">
              <w:t>timber</w:t>
            </w:r>
          </w:p>
          <w:p w:rsidR="00000000" w:rsidRPr="00BC3017" w:rsidP="00BC3017">
            <w:pPr>
              <w:pStyle w:val="ListBullet"/>
            </w:pPr>
            <w:r w:rsidRPr="00BC3017">
              <w:t>manufactured board</w:t>
            </w:r>
          </w:p>
          <w:p w:rsidR="00000000" w:rsidRPr="00BC3017" w:rsidP="00BC3017">
            <w:pPr>
              <w:pStyle w:val="ListBullet"/>
            </w:pPr>
            <w:r w:rsidRPr="00BC3017">
              <w:t>fabrics</w:t>
            </w:r>
          </w:p>
          <w:p w:rsidR="00000000" w:rsidRPr="00BC3017" w:rsidP="00BC3017">
            <w:pPr>
              <w:pStyle w:val="ListBullet"/>
            </w:pPr>
            <w:r w:rsidRPr="00BC3017">
              <w:t>grid wires</w:t>
            </w:r>
          </w:p>
          <w:p w:rsidR="00000000" w:rsidRPr="00BC3017" w:rsidP="00BC3017">
            <w:pPr>
              <w:pStyle w:val="ListBullet"/>
            </w:pPr>
            <w:r w:rsidRPr="00BC3017">
              <w:t>glues</w:t>
            </w:r>
          </w:p>
          <w:p w:rsidR="00000000" w:rsidRPr="00BC3017" w:rsidP="00BC3017">
            <w:pPr>
              <w:pStyle w:val="ListBullet"/>
            </w:pPr>
            <w:r w:rsidRPr="00BC3017">
              <w:t>screws</w:t>
            </w:r>
          </w:p>
          <w:p w:rsidR="00000000" w:rsidRPr="00BC3017" w:rsidP="00BC3017">
            <w:pPr>
              <w:pStyle w:val="ListBullet"/>
            </w:pPr>
            <w:r w:rsidRPr="00BC3017">
              <w:t>nails</w:t>
            </w:r>
          </w:p>
          <w:p w:rsidR="00000000" w:rsidRPr="00BC3017" w:rsidP="00BC3017">
            <w:pPr>
              <w:pStyle w:val="ListBullet"/>
            </w:pPr>
            <w:r w:rsidRPr="00BC3017">
              <w:t>dowels</w:t>
            </w:r>
          </w:p>
          <w:p w:rsidR="00000000" w:rsidRPr="00BC3017" w:rsidP="00BC3017">
            <w:pPr>
              <w:pStyle w:val="ListBullet"/>
            </w:pPr>
            <w:r w:rsidRPr="00BC3017">
              <w:t>coil springs</w:t>
            </w:r>
          </w:p>
          <w:p w:rsidR="00000000" w:rsidRPr="00BC3017" w:rsidP="00BC3017">
            <w:pPr>
              <w:pStyle w:val="ListBullet"/>
            </w:pPr>
            <w:r w:rsidRPr="00BC3017">
              <w:t>foam</w:t>
            </w:r>
          </w:p>
          <w:p w:rsidR="00000000" w:rsidRPr="00BC3017" w:rsidP="00BC3017">
            <w:pPr>
              <w:pStyle w:val="ListBullet"/>
            </w:pPr>
            <w:r w:rsidRPr="00BC3017">
              <w:t>padding</w:t>
            </w:r>
          </w:p>
          <w:p w:rsidR="00000000" w:rsidRPr="00BC3017" w:rsidP="00BC3017">
            <w:pPr>
              <w:pStyle w:val="ListBullet"/>
            </w:pPr>
            <w:r w:rsidRPr="00BC3017">
              <w:t>stabilising springs</w:t>
            </w:r>
          </w:p>
          <w:p w:rsidR="00000000" w:rsidP="00BC3017">
            <w:pPr>
              <w:pStyle w:val="ListBullet"/>
              <w:rPr>
                <w:lang w:val="en-NZ"/>
              </w:rPr>
            </w:pPr>
            <w:r w:rsidRPr="00BC3017">
              <w:t>border wire</w:t>
            </w:r>
          </w:p>
        </w:tc>
      </w:tr>
      <w:tr w:rsidTr="00BC30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C3017" w:rsidP="00BC3017">
            <w:pPr>
              <w:pStyle w:val="BodyText"/>
            </w:pPr>
            <w:r w:rsidRPr="00BC3017">
              <w:rPr>
                <w:rStyle w:val="SpecialBold"/>
              </w:rPr>
              <w:t>Assembled base specification checks include:</w:t>
            </w:r>
          </w:p>
          <w:p w:rsidR="00000000" w:rsidP="00BC301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C3017" w:rsidP="00BC3017">
            <w:pPr>
              <w:pStyle w:val="ListBullet"/>
            </w:pPr>
            <w:r w:rsidRPr="00BC3017">
              <w:t>alignment and squareness</w:t>
            </w:r>
          </w:p>
          <w:p w:rsidR="00000000" w:rsidRPr="00BC3017" w:rsidP="00BC3017">
            <w:pPr>
              <w:pStyle w:val="ListBullet"/>
            </w:pPr>
            <w:r w:rsidRPr="00BC3017">
              <w:t>correct number and fitting of fasteners</w:t>
            </w:r>
          </w:p>
          <w:p w:rsidR="00000000" w:rsidRPr="00BC3017" w:rsidP="00BC3017">
            <w:pPr>
              <w:pStyle w:val="ListBullet"/>
            </w:pPr>
            <w:r w:rsidRPr="00BC3017">
              <w:t>hardware</w:t>
            </w:r>
          </w:p>
          <w:p w:rsidR="00000000" w:rsidP="00BC3017">
            <w:pPr>
              <w:pStyle w:val="ListBullet"/>
              <w:rPr>
                <w:lang w:val="en-NZ"/>
              </w:rPr>
            </w:pPr>
            <w:r w:rsidRPr="00BC3017">
              <w:t>fittings and attachments and conformity to work instruction and quality requirements</w:t>
            </w:r>
          </w:p>
        </w:tc>
      </w:tr>
      <w:tr w:rsidTr="00BC30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BC3017">
            <w:pPr>
              <w:pStyle w:val="ListBullet"/>
              <w:rPr>
                <w:lang w:val="en-NZ"/>
              </w:rPr>
            </w:pPr>
            <w:r w:rsidRPr="00BC3017">
              <w:t>that prescribed under legislation, regulations and enterprise policies and pract</w:t>
            </w:r>
            <w:r w:rsidRPr="00BC3017">
              <w:t xml:space="preserve">ices </w:t>
            </w:r>
          </w:p>
        </w:tc>
      </w:tr>
      <w:tr w:rsidTr="00BC30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3017">
            <w:pPr>
              <w:pStyle w:val="BodyText"/>
              <w:rPr>
                <w:lang w:val="en-NZ"/>
              </w:rPr>
            </w:pPr>
            <w:r w:rsidRPr="00BC3017">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BC3017" w:rsidP="00BC3017">
            <w:pPr>
              <w:pStyle w:val="ListBullet"/>
            </w:pPr>
            <w:r w:rsidRPr="00BC3017">
              <w:t xml:space="preserve">workplace procedures relating to the use of tools and equipment </w:t>
            </w:r>
          </w:p>
          <w:p w:rsidR="00000000" w:rsidRPr="00BC3017" w:rsidP="00BC3017">
            <w:pPr>
              <w:pStyle w:val="ListBullet"/>
            </w:pPr>
            <w:r w:rsidRPr="00BC3017">
              <w:t xml:space="preserve">work instructions, including job sheets, cutting lists, plans, drawings and designs </w:t>
            </w:r>
          </w:p>
          <w:p w:rsidR="00000000" w:rsidRPr="00BC3017" w:rsidP="00BC3017">
            <w:pPr>
              <w:pStyle w:val="ListBullet"/>
            </w:pPr>
            <w:r w:rsidRPr="00BC3017">
              <w:t xml:space="preserve">workplace procedures relating to reporting and communication </w:t>
            </w:r>
          </w:p>
          <w:p w:rsidR="00000000" w:rsidRPr="00BC3017" w:rsidP="00BC3017">
            <w:pPr>
              <w:pStyle w:val="ListBullet"/>
            </w:pPr>
            <w:r w:rsidRPr="00BC3017">
              <w:t>manufacturer specifications and operational procedures</w:t>
            </w:r>
          </w:p>
        </w:tc>
      </w:tr>
    </w:tbl>
    <w:p w:rsidR="00000000" w:rsidRPr="00BC3017" w:rsidP="00BC3017">
      <w:pPr>
        <w:pStyle w:val="BodyText"/>
      </w:pPr>
    </w:p>
    <w:p w:rsidR="00000000" w:rsidRPr="00BC3017" w:rsidP="00BC3017">
      <w:pPr>
        <w:pStyle w:val="AllowPageBreak"/>
      </w:pPr>
    </w:p>
    <w:p w:rsidR="00000000" w:rsidRPr="00BC3017" w:rsidP="00BC3017">
      <w:pPr>
        <w:pStyle w:val="Heading1"/>
      </w:pPr>
      <w:bookmarkStart w:id="9" w:name="O_626670"/>
      <w:bookmarkEnd w:id="9"/>
      <w:r w:rsidRPr="00BC3017">
        <w:t>Unit Mapping Information</w:t>
      </w:r>
    </w:p>
    <w:p w:rsidR="00000000" w:rsidRPr="00BC3017" w:rsidP="00C96FDB">
      <w:pPr>
        <w:pStyle w:val="BodyText"/>
      </w:pPr>
      <w:r w:rsidRPr="00BC3017">
        <w:t>Supersedes and is equivalent to LMFMB2002B Prepare and assemble base unit.</w:t>
      </w:r>
    </w:p>
    <w:p w:rsidR="00000000" w:rsidRPr="00BC3017" w:rsidP="00BC3017">
      <w:pPr>
        <w:pStyle w:val="Heading1"/>
      </w:pPr>
      <w:bookmarkStart w:id="10" w:name="O_626663"/>
      <w:bookmarkEnd w:id="10"/>
      <w:r w:rsidRPr="00BC3017">
        <w:t>Links</w:t>
      </w:r>
    </w:p>
    <w:p w:rsidR="00000000" w:rsidRPr="00BC3017" w:rsidP="00C96FDB">
      <w:pPr>
        <w:pStyle w:val="BodyText"/>
      </w:pPr>
      <w:r w:rsidRPr="00BC3017">
        <w:t>Comp</w:t>
      </w:r>
      <w:r w:rsidRPr="00BC3017">
        <w:t xml:space="preserve">anion Volume implementation guides are found in VETNet - </w:t>
      </w:r>
      <w:r>
        <w:fldChar w:fldCharType="begin"/>
      </w:r>
      <w:r>
        <w:instrText xml:space="preserve"> HYPERLINK "https://vetnet.gov.au/Pages/TrainingDocs.aspx?q=0601ab95-583a-4e93-b2d4-cfb27b03ed73" </w:instrText>
      </w:r>
      <w:r>
        <w:fldChar w:fldCharType="separate"/>
      </w:r>
      <w:r w:rsidRPr="006B0AEC">
        <w:rPr>
          <w:rStyle w:val="Hyperlink"/>
        </w:rPr>
        <w:t>https://vetnet.gov.au/Pages/TrainingDocs.aspx?q=0601ab95-583a-4e93-b2d4-cfb27b03ed73</w:t>
      </w:r>
      <w:r>
        <w:fldChar w:fldCharType="end"/>
      </w:r>
    </w:p>
    <w:p w:rsidR="00000000" w:rsidRPr="00BC3017" w:rsidP="00BC3017"/>
    <w:sectPr w:rsidSect="00BC30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0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017" w:rsidRPr="00C96FDB" w:rsidP="00C96F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0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FDB" w:rsidP="00BC30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6FDB" w:rsidP="00BC301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96FDB" w:rsidP="00BC30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0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F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3017" w:rsidRPr="00C96FDB" w:rsidP="00C96F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0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FDB" w:rsidRPr="002D2AF8" w:rsidP="00BC3017">
    <w:pPr>
      <w:pStyle w:val="Header"/>
      <w:framePr w:wrap="around"/>
    </w:pPr>
    <w:r>
      <w:fldChar w:fldCharType="begin"/>
    </w:r>
    <w:r>
      <w:instrText xml:space="preserve"> TITLE   \* MERGEFORMAT </w:instrText>
    </w:r>
    <w:r>
      <w:fldChar w:fldCharType="separate"/>
    </w:r>
    <w:r>
      <w:t>MSFMB2001 Prepare and assemble base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C96FDB" w:rsidP="00BC30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C849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940B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0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3017"/>
    <w:pPr>
      <w:spacing w:before="360" w:after="60"/>
      <w:outlineLvl w:val="0"/>
    </w:pPr>
    <w:rPr>
      <w:sz w:val="32"/>
    </w:rPr>
  </w:style>
  <w:style w:type="paragraph" w:styleId="Heading2">
    <w:name w:val="heading 2"/>
    <w:basedOn w:val="HeadingBase"/>
    <w:next w:val="BodyText"/>
    <w:link w:val="Heading2Char"/>
    <w:qFormat/>
    <w:rsid w:val="00BC3017"/>
    <w:pPr>
      <w:keepLines/>
      <w:spacing w:before="240" w:after="120"/>
      <w:outlineLvl w:val="1"/>
    </w:pPr>
    <w:rPr>
      <w:sz w:val="28"/>
      <w:szCs w:val="40"/>
    </w:rPr>
  </w:style>
  <w:style w:type="paragraph" w:styleId="Heading3">
    <w:name w:val="heading 3"/>
    <w:basedOn w:val="HeadingBase"/>
    <w:next w:val="BodyText"/>
    <w:link w:val="Heading3Char"/>
    <w:qFormat/>
    <w:rsid w:val="00BC3017"/>
    <w:pPr>
      <w:spacing w:before="180" w:after="120"/>
      <w:outlineLvl w:val="2"/>
    </w:pPr>
    <w:rPr>
      <w:spacing w:val="-10"/>
      <w:kern w:val="32"/>
    </w:rPr>
  </w:style>
  <w:style w:type="paragraph" w:styleId="Heading4">
    <w:name w:val="heading 4"/>
    <w:basedOn w:val="HeadingBase"/>
    <w:next w:val="BodyText"/>
    <w:link w:val="Heading4Char"/>
    <w:qFormat/>
    <w:rsid w:val="00BC3017"/>
    <w:pPr>
      <w:spacing w:before="160" w:after="120"/>
      <w:outlineLvl w:val="3"/>
    </w:pPr>
    <w:rPr>
      <w:sz w:val="22"/>
    </w:rPr>
  </w:style>
  <w:style w:type="paragraph" w:styleId="Heading5">
    <w:name w:val="heading 5"/>
    <w:basedOn w:val="HeadingBase"/>
    <w:next w:val="Normal"/>
    <w:link w:val="Heading5Char"/>
    <w:qFormat/>
    <w:rsid w:val="00BC3017"/>
    <w:pPr>
      <w:spacing w:before="80"/>
      <w:outlineLvl w:val="4"/>
    </w:pPr>
    <w:rPr>
      <w:color w:val="918585"/>
      <w:sz w:val="20"/>
    </w:rPr>
  </w:style>
  <w:style w:type="paragraph" w:styleId="Heading6">
    <w:name w:val="heading 6"/>
    <w:basedOn w:val="HeadingBase"/>
    <w:next w:val="Normal"/>
    <w:link w:val="Heading6Char"/>
    <w:qFormat/>
    <w:rsid w:val="00BC3017"/>
    <w:pPr>
      <w:spacing w:before="60"/>
      <w:outlineLvl w:val="5"/>
    </w:pPr>
    <w:rPr>
      <w:color w:val="918585"/>
      <w:sz w:val="20"/>
    </w:rPr>
  </w:style>
  <w:style w:type="paragraph" w:styleId="Heading7">
    <w:name w:val="heading 7"/>
    <w:basedOn w:val="Normal"/>
    <w:next w:val="Normal"/>
    <w:link w:val="Heading7Char"/>
    <w:qFormat/>
    <w:rsid w:val="00BC3017"/>
    <w:pPr>
      <w:ind w:left="720"/>
      <w:outlineLvl w:val="6"/>
    </w:pPr>
    <w:rPr>
      <w:i/>
    </w:rPr>
  </w:style>
  <w:style w:type="paragraph" w:styleId="Heading8">
    <w:name w:val="heading 8"/>
    <w:basedOn w:val="Normal"/>
    <w:next w:val="Normal"/>
    <w:link w:val="Heading8Char"/>
    <w:qFormat/>
    <w:rsid w:val="00BC3017"/>
    <w:pPr>
      <w:ind w:left="720"/>
      <w:outlineLvl w:val="7"/>
    </w:pPr>
    <w:rPr>
      <w:i/>
    </w:rPr>
  </w:style>
  <w:style w:type="paragraph" w:styleId="Heading9">
    <w:name w:val="heading 9"/>
    <w:basedOn w:val="Normal"/>
    <w:next w:val="Normal"/>
    <w:link w:val="Heading9Char"/>
    <w:qFormat/>
    <w:rsid w:val="00BC3017"/>
    <w:pPr>
      <w:ind w:left="720"/>
      <w:outlineLvl w:val="8"/>
    </w:pPr>
    <w:rPr>
      <w:i/>
    </w:rPr>
  </w:style>
  <w:style w:type="character" w:default="1" w:styleId="DefaultParagraphFont">
    <w:name w:val="Default Paragraph Font"/>
    <w:uiPriority w:val="1"/>
    <w:unhideWhenUsed/>
    <w:rsid w:val="00BC30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3017"/>
  </w:style>
  <w:style w:type="character" w:customStyle="1" w:styleId="Heading1Char">
    <w:name w:val="Heading 1 Char"/>
    <w:basedOn w:val="DefaultParagraphFont"/>
    <w:link w:val="Heading1"/>
    <w:rsid w:val="00BC3017"/>
    <w:rPr>
      <w:rFonts w:ascii="Times New Roman" w:eastAsia="Times New Roman" w:hAnsi="Times New Roman" w:cs="Times New Roman"/>
      <w:b/>
      <w:sz w:val="32"/>
      <w:szCs w:val="20"/>
      <w:lang w:eastAsia="en-US"/>
    </w:rPr>
  </w:style>
  <w:style w:type="paragraph" w:styleId="BodyText">
    <w:name w:val="Body Text"/>
    <w:basedOn w:val="Normal"/>
    <w:link w:val="BodyTextChar"/>
    <w:rsid w:val="00BC30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3017"/>
    <w:rPr>
      <w:rFonts w:ascii="Times New Roman" w:eastAsia="Times New Roman" w:hAnsi="Times New Roman" w:cs="Times New Roman"/>
      <w:sz w:val="24"/>
      <w:lang w:eastAsia="en-US"/>
    </w:rPr>
  </w:style>
  <w:style w:type="paragraph" w:styleId="ListBullet">
    <w:name w:val="List Bullet"/>
    <w:basedOn w:val="List"/>
    <w:rsid w:val="00BC3017"/>
    <w:pPr>
      <w:numPr>
        <w:numId w:val="11"/>
      </w:numPr>
      <w:tabs>
        <w:tab w:val="clear" w:pos="340"/>
      </w:tabs>
      <w:spacing w:before="40" w:after="40"/>
    </w:pPr>
  </w:style>
  <w:style w:type="character" w:customStyle="1" w:styleId="SpecialBold">
    <w:name w:val="Special Bold"/>
    <w:basedOn w:val="DefaultParagraphFont"/>
    <w:rsid w:val="00BC3017"/>
    <w:rPr>
      <w:b/>
      <w:spacing w:val="0"/>
    </w:rPr>
  </w:style>
  <w:style w:type="paragraph" w:customStyle="1" w:styleId="SuperHeading">
    <w:name w:val="SuperHeading"/>
    <w:basedOn w:val="Normal"/>
    <w:rsid w:val="00BC3017"/>
    <w:pPr>
      <w:spacing w:before="240" w:after="120"/>
      <w:outlineLvl w:val="0"/>
    </w:pPr>
    <w:rPr>
      <w:rFonts w:ascii="Times New Roman" w:hAnsi="Times New Roman"/>
      <w:b/>
      <w:sz w:val="32"/>
    </w:rPr>
  </w:style>
  <w:style w:type="paragraph" w:customStyle="1" w:styleId="AllowPageBreak">
    <w:name w:val="AllowPageBreak"/>
    <w:rsid w:val="00BC30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30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30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30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30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30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30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30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3017"/>
    <w:rPr>
      <w:rFonts w:ascii="Courier New" w:eastAsia="Times New Roman" w:hAnsi="Courier New" w:cs="Times New Roman"/>
      <w:i/>
      <w:szCs w:val="20"/>
      <w:lang w:eastAsia="en-US"/>
    </w:rPr>
  </w:style>
  <w:style w:type="paragraph" w:customStyle="1" w:styleId="HeadingBase">
    <w:name w:val="Heading Base"/>
    <w:rsid w:val="00BC30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3017"/>
    <w:pPr>
      <w:tabs>
        <w:tab w:val="right" w:leader="dot" w:pos="9072"/>
      </w:tabs>
      <w:ind w:left="567"/>
    </w:pPr>
    <w:rPr>
      <w:szCs w:val="22"/>
    </w:rPr>
  </w:style>
  <w:style w:type="paragraph" w:customStyle="1" w:styleId="TOCBase">
    <w:name w:val="TOC Base"/>
    <w:rsid w:val="00BC30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3017"/>
    <w:pPr>
      <w:tabs>
        <w:tab w:val="right" w:leader="dot" w:pos="9072"/>
      </w:tabs>
      <w:spacing w:before="40" w:after="40"/>
      <w:ind w:left="284"/>
    </w:pPr>
    <w:rPr>
      <w:rFonts w:ascii="Times New Roman" w:hAnsi="Times New Roman"/>
    </w:rPr>
  </w:style>
  <w:style w:type="paragraph" w:styleId="TOC1">
    <w:name w:val="toc 1"/>
    <w:basedOn w:val="TOCBase"/>
    <w:next w:val="Normal"/>
    <w:rsid w:val="00BC30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30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3017"/>
    <w:rPr>
      <w:rFonts w:ascii="Times New Roman" w:eastAsia="Times New Roman" w:hAnsi="Times New Roman" w:cs="Times New Roman"/>
      <w:sz w:val="16"/>
      <w:lang w:eastAsia="en-US"/>
    </w:rPr>
  </w:style>
  <w:style w:type="paragraph" w:styleId="Title">
    <w:name w:val="Title"/>
    <w:basedOn w:val="HeadingBase"/>
    <w:link w:val="TitleChar"/>
    <w:qFormat/>
    <w:rsid w:val="00BC3017"/>
    <w:pPr>
      <w:spacing w:before="5040"/>
      <w:jc w:val="center"/>
    </w:pPr>
    <w:rPr>
      <w:sz w:val="48"/>
      <w:szCs w:val="72"/>
      <w:lang w:val="en-US"/>
    </w:rPr>
  </w:style>
  <w:style w:type="character" w:customStyle="1" w:styleId="TitleChar">
    <w:name w:val="Title Char"/>
    <w:basedOn w:val="DefaultParagraphFont"/>
    <w:link w:val="Title"/>
    <w:rsid w:val="00BC30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3017"/>
    <w:pPr>
      <w:tabs>
        <w:tab w:val="left" w:pos="3600"/>
        <w:tab w:val="left" w:pos="3958"/>
      </w:tabs>
    </w:pPr>
  </w:style>
  <w:style w:type="paragraph" w:styleId="List">
    <w:name w:val="List"/>
    <w:basedOn w:val="BodyText"/>
    <w:next w:val="BodyText"/>
    <w:rsid w:val="00BC3017"/>
    <w:pPr>
      <w:tabs>
        <w:tab w:val="left" w:pos="340"/>
      </w:tabs>
      <w:spacing w:before="60" w:after="60"/>
      <w:ind w:left="340" w:hanging="340"/>
    </w:pPr>
  </w:style>
  <w:style w:type="paragraph" w:customStyle="1" w:styleId="Note">
    <w:name w:val="Note"/>
    <w:basedOn w:val="BodyText"/>
    <w:rsid w:val="00BC30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3017"/>
    <w:pPr>
      <w:framePr w:wrap="auto" w:hAnchor="text" w:y="6049"/>
    </w:pPr>
    <w:rPr>
      <w:color w:val="000000"/>
      <w:sz w:val="40"/>
    </w:rPr>
  </w:style>
  <w:style w:type="paragraph" w:customStyle="1" w:styleId="TOCTitle">
    <w:name w:val="TOCTitle"/>
    <w:basedOn w:val="Heading1"/>
    <w:rsid w:val="00BC3017"/>
    <w:pPr>
      <w:spacing w:after="240"/>
      <w:jc w:val="center"/>
      <w:outlineLvl w:val="9"/>
    </w:pPr>
    <w:rPr>
      <w:caps/>
    </w:rPr>
  </w:style>
  <w:style w:type="paragraph" w:customStyle="1" w:styleId="Version">
    <w:name w:val="Version"/>
    <w:rsid w:val="00BC30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3017"/>
    <w:pPr>
      <w:numPr>
        <w:numId w:val="12"/>
      </w:numPr>
      <w:tabs>
        <w:tab w:val="clear" w:pos="680"/>
      </w:tabs>
    </w:pPr>
  </w:style>
  <w:style w:type="paragraph" w:styleId="Index1">
    <w:name w:val="index 1"/>
    <w:basedOn w:val="Normal"/>
    <w:next w:val="Normal"/>
    <w:semiHidden/>
    <w:rsid w:val="00BC3017"/>
    <w:pPr>
      <w:keepNext w:val="0"/>
      <w:tabs>
        <w:tab w:val="right" w:pos="4176"/>
      </w:tabs>
      <w:ind w:left="198" w:hanging="198"/>
    </w:pPr>
    <w:rPr>
      <w:rFonts w:ascii="Garamond" w:hAnsi="Garamond"/>
    </w:rPr>
  </w:style>
  <w:style w:type="paragraph" w:styleId="IndexHeading">
    <w:name w:val="index heading"/>
    <w:basedOn w:val="Normal"/>
    <w:next w:val="Index1"/>
    <w:semiHidden/>
    <w:rsid w:val="00BC3017"/>
    <w:pPr>
      <w:spacing w:before="120" w:after="120"/>
    </w:pPr>
    <w:rPr>
      <w:rFonts w:ascii="Arial" w:hAnsi="Arial"/>
      <w:b/>
      <w:color w:val="918585"/>
      <w:sz w:val="24"/>
    </w:rPr>
  </w:style>
  <w:style w:type="paragraph" w:styleId="Header">
    <w:name w:val="header"/>
    <w:basedOn w:val="Normal"/>
    <w:link w:val="HeaderChar"/>
    <w:rsid w:val="00BC30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3017"/>
    <w:rPr>
      <w:rFonts w:ascii="Times New Roman" w:eastAsia="Times New Roman" w:hAnsi="Times New Roman" w:cs="Times New Roman"/>
      <w:sz w:val="16"/>
      <w:szCs w:val="20"/>
      <w:lang w:val="en-GB" w:eastAsia="en-US"/>
    </w:rPr>
  </w:style>
  <w:style w:type="paragraph" w:customStyle="1" w:styleId="Chapter">
    <w:name w:val="Chapter"/>
    <w:basedOn w:val="Normal"/>
    <w:rsid w:val="00BC3017"/>
    <w:pPr>
      <w:spacing w:before="240"/>
    </w:pPr>
    <w:rPr>
      <w:rFonts w:ascii="Times New Roman" w:hAnsi="Times New Roman"/>
      <w:smallCaps/>
      <w:spacing w:val="80"/>
      <w:sz w:val="28"/>
    </w:rPr>
  </w:style>
  <w:style w:type="paragraph" w:customStyle="1" w:styleId="InChapter">
    <w:name w:val="InChapter"/>
    <w:basedOn w:val="Heading3"/>
    <w:rsid w:val="00BC3017"/>
    <w:pPr>
      <w:spacing w:after="240"/>
      <w:outlineLvl w:val="9"/>
    </w:pPr>
    <w:rPr>
      <w:noProof/>
    </w:rPr>
  </w:style>
  <w:style w:type="paragraph" w:styleId="Index2">
    <w:name w:val="index 2"/>
    <w:basedOn w:val="Normal"/>
    <w:next w:val="Normal"/>
    <w:semiHidden/>
    <w:rsid w:val="00BC3017"/>
    <w:pPr>
      <w:tabs>
        <w:tab w:val="right" w:pos="4176"/>
      </w:tabs>
      <w:ind w:left="568" w:hanging="284"/>
    </w:pPr>
    <w:rPr>
      <w:rFonts w:ascii="Garamond" w:hAnsi="Garamond"/>
    </w:rPr>
  </w:style>
  <w:style w:type="paragraph" w:customStyle="1" w:styleId="Byline">
    <w:name w:val="Byline"/>
    <w:rsid w:val="00BC30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3017"/>
    <w:pPr>
      <w:tabs>
        <w:tab w:val="clear" w:pos="3600"/>
        <w:tab w:val="clear" w:pos="3958"/>
      </w:tabs>
      <w:jc w:val="right"/>
    </w:pPr>
  </w:style>
  <w:style w:type="character" w:styleId="Emphasis">
    <w:name w:val="Emphasis"/>
    <w:basedOn w:val="DefaultParagraphFont"/>
    <w:qFormat/>
    <w:rsid w:val="00BC3017"/>
    <w:rPr>
      <w:i/>
    </w:rPr>
  </w:style>
  <w:style w:type="paragraph" w:styleId="Caption">
    <w:name w:val="caption"/>
    <w:basedOn w:val="BodyText"/>
    <w:next w:val="Normal"/>
    <w:qFormat/>
    <w:rsid w:val="00BC3017"/>
    <w:pPr>
      <w:framePr w:w="2268" w:hSpace="181" w:vSpace="181" w:wrap="around" w:vAnchor="text" w:hAnchor="page" w:x="1135" w:y="285" w:anchorLock="1"/>
    </w:pPr>
    <w:rPr>
      <w:i/>
    </w:rPr>
  </w:style>
  <w:style w:type="paragraph" w:customStyle="1" w:styleId="MiniTOCTitle">
    <w:name w:val="MiniTOCTitle"/>
    <w:basedOn w:val="Heading4"/>
    <w:rsid w:val="00BC3017"/>
    <w:pPr>
      <w:spacing w:before="240"/>
      <w:outlineLvl w:val="9"/>
    </w:pPr>
    <w:rPr>
      <w:noProof/>
      <w:sz w:val="24"/>
    </w:rPr>
  </w:style>
  <w:style w:type="paragraph" w:customStyle="1" w:styleId="MiniTOCItem">
    <w:name w:val="MiniTOCItem"/>
    <w:basedOn w:val="ListBullet"/>
    <w:rsid w:val="00BC3017"/>
    <w:pPr>
      <w:numPr>
        <w:numId w:val="0"/>
      </w:numPr>
      <w:tabs>
        <w:tab w:val="right" w:leader="dot" w:pos="6521"/>
      </w:tabs>
      <w:spacing w:before="0" w:after="0"/>
    </w:pPr>
  </w:style>
  <w:style w:type="paragraph" w:customStyle="1" w:styleId="TOFTitle">
    <w:name w:val="TOFTitle"/>
    <w:basedOn w:val="TOCTitle"/>
    <w:rsid w:val="00BC3017"/>
  </w:style>
  <w:style w:type="paragraph" w:styleId="TableofFigures">
    <w:name w:val="table of figures"/>
    <w:basedOn w:val="Normal"/>
    <w:next w:val="Normal"/>
    <w:semiHidden/>
    <w:rsid w:val="00BC3017"/>
    <w:pPr>
      <w:tabs>
        <w:tab w:val="right" w:leader="dot" w:pos="9072"/>
      </w:tabs>
      <w:ind w:left="970" w:hanging="403"/>
    </w:pPr>
    <w:rPr>
      <w:rFonts w:ascii="Times New Roman" w:hAnsi="Times New Roman"/>
      <w:b/>
    </w:rPr>
  </w:style>
  <w:style w:type="paragraph" w:styleId="ListNumber">
    <w:name w:val="List Number"/>
    <w:basedOn w:val="List"/>
    <w:rsid w:val="00BC3017"/>
    <w:pPr>
      <w:numPr>
        <w:numId w:val="14"/>
      </w:numPr>
      <w:tabs>
        <w:tab w:val="clear" w:pos="340"/>
      </w:tabs>
    </w:pPr>
  </w:style>
  <w:style w:type="character" w:customStyle="1" w:styleId="WingdingSymbols">
    <w:name w:val="Wingding Symbols"/>
    <w:rsid w:val="00BC3017"/>
    <w:rPr>
      <w:rFonts w:ascii="Wingdings" w:hAnsi="Wingdings"/>
    </w:rPr>
  </w:style>
  <w:style w:type="paragraph" w:customStyle="1" w:styleId="TableHeading">
    <w:name w:val="Table Heading"/>
    <w:basedOn w:val="HeadingBase"/>
    <w:rsid w:val="00BC3017"/>
    <w:pPr>
      <w:keepLines/>
      <w:pBdr>
        <w:bottom w:val="single" w:sz="6" w:space="1" w:color="918585"/>
      </w:pBdr>
      <w:spacing w:before="240"/>
    </w:pPr>
  </w:style>
  <w:style w:type="character" w:customStyle="1" w:styleId="HotSpot">
    <w:name w:val="HotSpot"/>
    <w:rsid w:val="00BC3017"/>
    <w:rPr>
      <w:color w:val="0033CC"/>
      <w:u w:val="none"/>
    </w:rPr>
  </w:style>
  <w:style w:type="paragraph" w:customStyle="1" w:styleId="BodyTextRight">
    <w:name w:val="Body Text Right"/>
    <w:basedOn w:val="BodyText"/>
    <w:rsid w:val="00BC3017"/>
    <w:pPr>
      <w:spacing w:before="0" w:after="0"/>
      <w:jc w:val="right"/>
    </w:pPr>
  </w:style>
  <w:style w:type="paragraph" w:styleId="Index3">
    <w:name w:val="index 3"/>
    <w:basedOn w:val="ListNumber2"/>
    <w:next w:val="Normal"/>
    <w:semiHidden/>
    <w:rsid w:val="00BC3017"/>
    <w:pPr>
      <w:numPr>
        <w:numId w:val="0"/>
      </w:numPr>
      <w:tabs>
        <w:tab w:val="right" w:leader="dot" w:pos="4176"/>
      </w:tabs>
    </w:pPr>
  </w:style>
  <w:style w:type="paragraph" w:styleId="ListNumber2">
    <w:name w:val="List Number 2"/>
    <w:basedOn w:val="List2"/>
    <w:rsid w:val="00BC3017"/>
    <w:pPr>
      <w:numPr>
        <w:numId w:val="9"/>
      </w:numPr>
      <w:tabs>
        <w:tab w:val="clear" w:pos="1060"/>
      </w:tabs>
    </w:pPr>
  </w:style>
  <w:style w:type="paragraph" w:customStyle="1" w:styleId="MarginNote">
    <w:name w:val="Margin Note"/>
    <w:basedOn w:val="BodyText"/>
    <w:rsid w:val="00BC30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30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30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3017"/>
    <w:rPr>
      <w:sz w:val="32"/>
    </w:rPr>
  </w:style>
  <w:style w:type="paragraph" w:customStyle="1" w:styleId="HeadingProcedure">
    <w:name w:val="Heading Procedure"/>
    <w:basedOn w:val="HeadingBase"/>
    <w:next w:val="Normal"/>
    <w:rsid w:val="00BC3017"/>
    <w:pPr>
      <w:tabs>
        <w:tab w:val="left" w:pos="0"/>
      </w:tabs>
      <w:spacing w:before="120" w:after="60"/>
    </w:pPr>
    <w:rPr>
      <w:i/>
      <w:color w:val="918585"/>
      <w:sz w:val="22"/>
    </w:rPr>
  </w:style>
  <w:style w:type="paragraph" w:customStyle="1" w:styleId="TableBodyText">
    <w:name w:val="Table Body Text"/>
    <w:basedOn w:val="BodyText"/>
    <w:rsid w:val="00BC3017"/>
    <w:pPr>
      <w:spacing w:before="60" w:after="60"/>
    </w:pPr>
  </w:style>
  <w:style w:type="paragraph" w:styleId="ListContinue">
    <w:name w:val="List Continue"/>
    <w:basedOn w:val="List"/>
    <w:rsid w:val="00BC3017"/>
    <w:pPr>
      <w:ind w:firstLine="0"/>
    </w:pPr>
  </w:style>
  <w:style w:type="paragraph" w:customStyle="1" w:styleId="ListNote">
    <w:name w:val="List Note"/>
    <w:basedOn w:val="List"/>
    <w:rsid w:val="00BC3017"/>
    <w:pPr>
      <w:pBdr>
        <w:top w:val="single" w:sz="6" w:space="2" w:color="918585"/>
        <w:bottom w:val="single" w:sz="6" w:space="2" w:color="918585"/>
      </w:pBdr>
      <w:tabs>
        <w:tab w:val="left" w:pos="1021"/>
      </w:tabs>
      <w:ind w:firstLine="0"/>
    </w:pPr>
  </w:style>
  <w:style w:type="paragraph" w:customStyle="1" w:styleId="Warning">
    <w:name w:val="Warning"/>
    <w:basedOn w:val="BodyText"/>
    <w:rsid w:val="00BC3017"/>
    <w:pPr>
      <w:shd w:val="clear" w:color="auto" w:fill="D9D9D9"/>
      <w:tabs>
        <w:tab w:val="left" w:pos="992"/>
      </w:tabs>
      <w:ind w:left="119" w:right="119"/>
    </w:pPr>
    <w:rPr>
      <w:sz w:val="20"/>
    </w:rPr>
  </w:style>
  <w:style w:type="paragraph" w:customStyle="1" w:styleId="MarginIcons">
    <w:name w:val="Margin Icons"/>
    <w:basedOn w:val="BodyText"/>
    <w:rsid w:val="00BC30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3017"/>
    <w:rPr>
      <w:rFonts w:ascii="Courier New" w:hAnsi="Courier New"/>
    </w:rPr>
  </w:style>
  <w:style w:type="paragraph" w:customStyle="1" w:styleId="NoteBullet">
    <w:name w:val="Note Bullet"/>
    <w:basedOn w:val="Note"/>
    <w:rsid w:val="00BC3017"/>
    <w:pPr>
      <w:tabs>
        <w:tab w:val="clear" w:pos="680"/>
      </w:tabs>
      <w:spacing w:before="60" w:after="60"/>
    </w:pPr>
  </w:style>
  <w:style w:type="paragraph" w:customStyle="1" w:styleId="SubHeading2">
    <w:name w:val="SubHeading2"/>
    <w:basedOn w:val="HeadingBase"/>
    <w:rsid w:val="00BC3017"/>
    <w:pPr>
      <w:spacing w:before="240" w:after="60"/>
    </w:pPr>
    <w:rPr>
      <w:sz w:val="20"/>
    </w:rPr>
  </w:style>
  <w:style w:type="paragraph" w:customStyle="1" w:styleId="SubHeading1">
    <w:name w:val="SubHeading1"/>
    <w:basedOn w:val="HeadingBase"/>
    <w:rsid w:val="00BC3017"/>
    <w:pPr>
      <w:spacing w:before="240" w:after="60"/>
    </w:pPr>
    <w:rPr>
      <w:color w:val="918585"/>
      <w:sz w:val="22"/>
    </w:rPr>
  </w:style>
  <w:style w:type="paragraph" w:customStyle="1" w:styleId="SideHeading">
    <w:name w:val="Side Heading"/>
    <w:basedOn w:val="HeadingBase"/>
    <w:rsid w:val="00BC30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3017"/>
    <w:pPr>
      <w:numPr>
        <w:numId w:val="10"/>
      </w:numPr>
    </w:pPr>
  </w:style>
  <w:style w:type="paragraph" w:styleId="PlainText">
    <w:name w:val="Plain Text"/>
    <w:basedOn w:val="Normal"/>
    <w:link w:val="PlainTextChar"/>
    <w:rsid w:val="00BC3017"/>
    <w:rPr>
      <w:sz w:val="20"/>
    </w:rPr>
  </w:style>
  <w:style w:type="character" w:customStyle="1" w:styleId="PlainTextChar">
    <w:name w:val="Plain Text Char"/>
    <w:basedOn w:val="DefaultParagraphFont"/>
    <w:link w:val="PlainText"/>
    <w:rsid w:val="00BC3017"/>
    <w:rPr>
      <w:rFonts w:ascii="Courier New" w:eastAsia="Times New Roman" w:hAnsi="Courier New" w:cs="Times New Roman"/>
      <w:sz w:val="20"/>
      <w:szCs w:val="20"/>
      <w:lang w:eastAsia="en-US"/>
    </w:rPr>
  </w:style>
  <w:style w:type="character" w:customStyle="1" w:styleId="MenuOption">
    <w:name w:val="Menu Option"/>
    <w:basedOn w:val="DefaultParagraphFont"/>
    <w:rsid w:val="00BC3017"/>
    <w:rPr>
      <w:b/>
      <w:smallCaps/>
    </w:rPr>
  </w:style>
  <w:style w:type="paragraph" w:customStyle="1" w:styleId="TableListNumber">
    <w:name w:val="Table List Number"/>
    <w:basedOn w:val="ListNumber"/>
    <w:rsid w:val="00BC3017"/>
    <w:pPr>
      <w:numPr>
        <w:numId w:val="0"/>
      </w:numPr>
    </w:pPr>
  </w:style>
  <w:style w:type="paragraph" w:styleId="TOC4">
    <w:name w:val="toc 4"/>
    <w:basedOn w:val="TOCBase"/>
    <w:next w:val="Normal"/>
    <w:semiHidden/>
    <w:rsid w:val="00BC3017"/>
    <w:pPr>
      <w:tabs>
        <w:tab w:val="right" w:leader="dot" w:pos="9071"/>
      </w:tabs>
      <w:ind w:left="1701"/>
    </w:pPr>
  </w:style>
  <w:style w:type="paragraph" w:customStyle="1" w:styleId="ListAlpha">
    <w:name w:val="List Alpha"/>
    <w:basedOn w:val="List"/>
    <w:rsid w:val="00BC3017"/>
    <w:pPr>
      <w:numPr>
        <w:numId w:val="8"/>
      </w:numPr>
    </w:pPr>
  </w:style>
  <w:style w:type="paragraph" w:customStyle="1" w:styleId="ListAlpha2">
    <w:name w:val="List Alpha 2"/>
    <w:basedOn w:val="List2"/>
    <w:rsid w:val="00BC3017"/>
    <w:pPr>
      <w:numPr>
        <w:numId w:val="7"/>
      </w:numPr>
    </w:pPr>
  </w:style>
  <w:style w:type="paragraph" w:styleId="List2">
    <w:name w:val="List 2"/>
    <w:basedOn w:val="BodyText"/>
    <w:rsid w:val="00BC3017"/>
    <w:pPr>
      <w:tabs>
        <w:tab w:val="left" w:pos="680"/>
      </w:tabs>
      <w:spacing w:before="60" w:after="60"/>
      <w:ind w:left="680" w:hanging="340"/>
    </w:pPr>
  </w:style>
  <w:style w:type="paragraph" w:styleId="List3">
    <w:name w:val="List 3"/>
    <w:basedOn w:val="BodyText"/>
    <w:rsid w:val="00BC3017"/>
    <w:pPr>
      <w:tabs>
        <w:tab w:val="left" w:pos="1021"/>
      </w:tabs>
      <w:spacing w:before="60" w:after="60"/>
      <w:ind w:left="1020" w:hanging="340"/>
    </w:pPr>
  </w:style>
  <w:style w:type="paragraph" w:styleId="List4">
    <w:name w:val="List 4"/>
    <w:basedOn w:val="BodyText"/>
    <w:rsid w:val="00BC3017"/>
    <w:pPr>
      <w:tabs>
        <w:tab w:val="left" w:pos="1361"/>
      </w:tabs>
      <w:spacing w:before="60" w:after="60"/>
      <w:ind w:left="1361" w:hanging="340"/>
    </w:pPr>
  </w:style>
  <w:style w:type="paragraph" w:styleId="List5">
    <w:name w:val="List 5"/>
    <w:basedOn w:val="BodyText"/>
    <w:rsid w:val="00BC3017"/>
    <w:pPr>
      <w:tabs>
        <w:tab w:val="left" w:pos="1701"/>
      </w:tabs>
      <w:spacing w:before="60" w:after="60"/>
      <w:ind w:left="1701" w:hanging="340"/>
    </w:pPr>
  </w:style>
  <w:style w:type="paragraph" w:styleId="ListBullet3">
    <w:name w:val="List Bullet 3"/>
    <w:basedOn w:val="List3"/>
    <w:rsid w:val="00BC3017"/>
    <w:pPr>
      <w:numPr>
        <w:numId w:val="13"/>
      </w:numPr>
      <w:tabs>
        <w:tab w:val="clear" w:pos="1021"/>
      </w:tabs>
      <w:ind w:left="1037" w:hanging="357"/>
    </w:pPr>
  </w:style>
  <w:style w:type="paragraph" w:styleId="ListBullet4">
    <w:name w:val="List Bullet 4"/>
    <w:basedOn w:val="List4"/>
    <w:rsid w:val="00BC3017"/>
    <w:pPr>
      <w:numPr>
        <w:numId w:val="2"/>
      </w:numPr>
      <w:tabs>
        <w:tab w:val="clear" w:pos="1361"/>
      </w:tabs>
    </w:pPr>
  </w:style>
  <w:style w:type="paragraph" w:styleId="ListBullet5">
    <w:name w:val="List Bullet 5"/>
    <w:basedOn w:val="List5"/>
    <w:rsid w:val="00BC3017"/>
    <w:pPr>
      <w:numPr>
        <w:numId w:val="3"/>
      </w:numPr>
    </w:pPr>
  </w:style>
  <w:style w:type="paragraph" w:styleId="ListContinue2">
    <w:name w:val="List Continue 2"/>
    <w:basedOn w:val="List2"/>
    <w:rsid w:val="00BC3017"/>
    <w:pPr>
      <w:ind w:firstLine="0"/>
    </w:pPr>
  </w:style>
  <w:style w:type="paragraph" w:styleId="ListContinue3">
    <w:name w:val="List Continue 3"/>
    <w:basedOn w:val="List3"/>
    <w:rsid w:val="00BC3017"/>
    <w:pPr>
      <w:ind w:left="1021" w:firstLine="0"/>
    </w:pPr>
  </w:style>
  <w:style w:type="paragraph" w:styleId="ListContinue4">
    <w:name w:val="List Continue 4"/>
    <w:basedOn w:val="List4"/>
    <w:rsid w:val="00BC3017"/>
    <w:pPr>
      <w:ind w:firstLine="0"/>
    </w:pPr>
  </w:style>
  <w:style w:type="paragraph" w:styleId="ListContinue5">
    <w:name w:val="List Continue 5"/>
    <w:basedOn w:val="List5"/>
    <w:rsid w:val="00BC3017"/>
    <w:pPr>
      <w:ind w:firstLine="0"/>
    </w:pPr>
  </w:style>
  <w:style w:type="paragraph" w:styleId="ListNumber3">
    <w:name w:val="List Number 3"/>
    <w:basedOn w:val="List3"/>
    <w:rsid w:val="00BC3017"/>
    <w:pPr>
      <w:numPr>
        <w:numId w:val="4"/>
      </w:numPr>
    </w:pPr>
  </w:style>
  <w:style w:type="paragraph" w:styleId="ListNumber4">
    <w:name w:val="List Number 4"/>
    <w:basedOn w:val="List4"/>
    <w:rsid w:val="00BC3017"/>
    <w:pPr>
      <w:numPr>
        <w:numId w:val="5"/>
      </w:numPr>
    </w:pPr>
  </w:style>
  <w:style w:type="paragraph" w:styleId="ListNumber5">
    <w:name w:val="List Number 5"/>
    <w:basedOn w:val="List5"/>
    <w:rsid w:val="00BC3017"/>
    <w:pPr>
      <w:numPr>
        <w:numId w:val="6"/>
      </w:numPr>
    </w:pPr>
  </w:style>
  <w:style w:type="paragraph" w:styleId="BlockText">
    <w:name w:val="Block Text"/>
    <w:basedOn w:val="Normal"/>
    <w:rsid w:val="00BC3017"/>
    <w:pPr>
      <w:spacing w:after="120"/>
      <w:ind w:left="1440" w:right="1440"/>
    </w:pPr>
  </w:style>
  <w:style w:type="character" w:customStyle="1" w:styleId="Subscript">
    <w:name w:val="Subscript"/>
    <w:basedOn w:val="DefaultParagraphFont"/>
    <w:rsid w:val="00BC3017"/>
    <w:rPr>
      <w:sz w:val="16"/>
      <w:vertAlign w:val="subscript"/>
    </w:rPr>
  </w:style>
  <w:style w:type="character" w:customStyle="1" w:styleId="Superscript">
    <w:name w:val="Superscript"/>
    <w:basedOn w:val="DefaultParagraphFont"/>
    <w:rsid w:val="00BC3017"/>
    <w:rPr>
      <w:sz w:val="16"/>
      <w:vertAlign w:val="superscript"/>
    </w:rPr>
  </w:style>
  <w:style w:type="character" w:customStyle="1" w:styleId="Symbols">
    <w:name w:val="Symbols"/>
    <w:basedOn w:val="DefaultParagraphFont"/>
    <w:rsid w:val="00BC3017"/>
    <w:rPr>
      <w:rFonts w:ascii="Symbol" w:hAnsi="Symbol"/>
    </w:rPr>
  </w:style>
  <w:style w:type="character" w:customStyle="1" w:styleId="MenuOptions">
    <w:name w:val="Menu Options"/>
    <w:basedOn w:val="DefaultParagraphFont"/>
    <w:rsid w:val="00BC3017"/>
    <w:rPr>
      <w:rFonts w:ascii="Arial Narrow" w:hAnsi="Arial Narrow"/>
      <w:smallCaps/>
    </w:rPr>
  </w:style>
  <w:style w:type="character" w:customStyle="1" w:styleId="Buttons">
    <w:name w:val="Buttons"/>
    <w:basedOn w:val="DefaultParagraphFont"/>
    <w:rsid w:val="00BC3017"/>
    <w:rPr>
      <w:b/>
    </w:rPr>
  </w:style>
  <w:style w:type="character" w:customStyle="1" w:styleId="Underlined">
    <w:name w:val="Underlined"/>
    <w:basedOn w:val="DefaultParagraphFont"/>
    <w:rsid w:val="00BC3017"/>
    <w:rPr>
      <w:u w:val="single"/>
    </w:rPr>
  </w:style>
  <w:style w:type="paragraph" w:customStyle="1" w:styleId="TableBodyTextRight">
    <w:name w:val="Table Body Text Right"/>
    <w:basedOn w:val="TableBodyText"/>
    <w:rsid w:val="00BC3017"/>
    <w:pPr>
      <w:widowControl w:val="0"/>
      <w:autoSpaceDE w:val="0"/>
      <w:autoSpaceDN w:val="0"/>
      <w:adjustRightInd w:val="0"/>
      <w:jc w:val="right"/>
    </w:pPr>
    <w:rPr>
      <w:rFonts w:cs="Arial"/>
      <w:szCs w:val="18"/>
    </w:rPr>
  </w:style>
  <w:style w:type="paragraph" w:customStyle="1" w:styleId="CopyrightText">
    <w:name w:val="Copyright Text"/>
    <w:basedOn w:val="BodyText"/>
    <w:rsid w:val="00BC3017"/>
    <w:rPr>
      <w:sz w:val="18"/>
    </w:rPr>
  </w:style>
  <w:style w:type="paragraph" w:customStyle="1" w:styleId="BodySmallRight">
    <w:name w:val="Body Small Right"/>
    <w:basedOn w:val="BodyTextRight"/>
    <w:rsid w:val="00BC3017"/>
    <w:rPr>
      <w:sz w:val="18"/>
      <w:szCs w:val="18"/>
    </w:rPr>
  </w:style>
  <w:style w:type="paragraph" w:customStyle="1" w:styleId="MarginEdition">
    <w:name w:val="Margin Edition"/>
    <w:basedOn w:val="MarginNote"/>
    <w:rsid w:val="00BC3017"/>
    <w:pPr>
      <w:spacing w:before="0" w:after="0"/>
    </w:pPr>
    <w:rPr>
      <w:rFonts w:ascii="Times New Roman" w:hAnsi="Times New Roman"/>
      <w:color w:val="999999"/>
    </w:rPr>
  </w:style>
  <w:style w:type="paragraph" w:customStyle="1" w:styleId="Spacer">
    <w:name w:val="Spacer"/>
    <w:basedOn w:val="Normal"/>
    <w:rsid w:val="00BC3017"/>
    <w:rPr>
      <w:sz w:val="2"/>
      <w:szCs w:val="2"/>
    </w:rPr>
  </w:style>
  <w:style w:type="character" w:customStyle="1" w:styleId="Small">
    <w:name w:val="Small"/>
    <w:basedOn w:val="DefaultParagraphFont"/>
    <w:rsid w:val="00BC3017"/>
    <w:rPr>
      <w:sz w:val="16"/>
    </w:rPr>
  </w:style>
  <w:style w:type="paragraph" w:customStyle="1" w:styleId="WideTable">
    <w:name w:val="Wide Table"/>
    <w:basedOn w:val="Normal"/>
    <w:rsid w:val="00BC3017"/>
    <w:pPr>
      <w:ind w:left="-1418"/>
    </w:pPr>
    <w:rPr>
      <w:sz w:val="2"/>
      <w:szCs w:val="2"/>
    </w:rPr>
  </w:style>
  <w:style w:type="character" w:styleId="PageNumber">
    <w:name w:val="page number"/>
    <w:basedOn w:val="DefaultParagraphFont"/>
    <w:rsid w:val="00BC3017"/>
  </w:style>
  <w:style w:type="paragraph" w:styleId="Quote">
    <w:name w:val="Quote"/>
    <w:basedOn w:val="Heading1"/>
    <w:link w:val="QuoteChar"/>
    <w:qFormat/>
    <w:rsid w:val="00BC3017"/>
    <w:rPr>
      <w:b w:val="0"/>
      <w:sz w:val="72"/>
      <w:szCs w:val="72"/>
      <w:lang w:val="en-NZ"/>
    </w:rPr>
  </w:style>
  <w:style w:type="character" w:customStyle="1" w:styleId="QuoteChar">
    <w:name w:val="Quote Char"/>
    <w:basedOn w:val="DefaultParagraphFont"/>
    <w:link w:val="Quote"/>
    <w:rsid w:val="00BC30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3017"/>
    <w:pPr>
      <w:pageBreakBefore/>
    </w:pPr>
  </w:style>
  <w:style w:type="paragraph" w:customStyle="1" w:styleId="Border">
    <w:name w:val="Border"/>
    <w:basedOn w:val="Normal"/>
    <w:qFormat/>
    <w:rsid w:val="00BC30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3017"/>
    <w:rPr>
      <w:b/>
      <w:bCs/>
      <w:i/>
      <w:iCs/>
      <w:color w:val="auto"/>
    </w:rPr>
  </w:style>
  <w:style w:type="paragraph" w:styleId="IntenseQuote">
    <w:name w:val="Intense Quote"/>
    <w:basedOn w:val="Normal"/>
    <w:next w:val="Normal"/>
    <w:link w:val="IntenseQuoteChar"/>
    <w:uiPriority w:val="30"/>
    <w:qFormat/>
    <w:rsid w:val="00BC30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30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3017"/>
    <w:rPr>
      <w:smallCaps/>
      <w:color w:val="auto"/>
      <w:u w:val="single"/>
    </w:rPr>
  </w:style>
  <w:style w:type="character" w:styleId="IntenseReference">
    <w:name w:val="Intense Reference"/>
    <w:basedOn w:val="DefaultParagraphFont"/>
    <w:uiPriority w:val="32"/>
    <w:qFormat/>
    <w:rsid w:val="00BC3017"/>
    <w:rPr>
      <w:b/>
      <w:bCs/>
      <w:smallCaps/>
      <w:color w:val="auto"/>
      <w:spacing w:val="5"/>
      <w:u w:val="single"/>
    </w:rPr>
  </w:style>
  <w:style w:type="paragraph" w:customStyle="1" w:styleId="2ColumnHeading">
    <w:name w:val="2Column Heading"/>
    <w:basedOn w:val="BodyText"/>
    <w:qFormat/>
    <w:rsid w:val="00BC3017"/>
    <w:pPr>
      <w:spacing w:after="60"/>
      <w:ind w:left="-2268"/>
    </w:pPr>
    <w:rPr>
      <w:b/>
    </w:rPr>
  </w:style>
  <w:style w:type="paragraph" w:customStyle="1" w:styleId="Heading1TOC">
    <w:name w:val="Heading1 TOC"/>
    <w:basedOn w:val="Normal"/>
    <w:qFormat/>
    <w:rsid w:val="00BC3017"/>
    <w:pPr>
      <w:spacing w:before="240" w:after="120"/>
    </w:pPr>
    <w:rPr>
      <w:rFonts w:ascii="Times New Roman" w:hAnsi="Times New Roman"/>
      <w:b/>
      <w:sz w:val="32"/>
    </w:rPr>
  </w:style>
  <w:style w:type="paragraph" w:customStyle="1" w:styleId="Heading2TOC">
    <w:name w:val="Heading2 TOC"/>
    <w:basedOn w:val="Normal"/>
    <w:qFormat/>
    <w:rsid w:val="00BC3017"/>
    <w:pPr>
      <w:spacing w:before="240" w:after="60"/>
    </w:pPr>
    <w:rPr>
      <w:rFonts w:ascii="Times New Roman" w:hAnsi="Times New Roman"/>
      <w:b/>
      <w:sz w:val="28"/>
    </w:rPr>
  </w:style>
  <w:style w:type="character" w:customStyle="1" w:styleId="Underline">
    <w:name w:val="Underline"/>
    <w:basedOn w:val="DefaultParagraphFont"/>
    <w:qFormat/>
    <w:rsid w:val="00BC3017"/>
    <w:rPr>
      <w:u w:val="single"/>
    </w:rPr>
  </w:style>
  <w:style w:type="character" w:customStyle="1" w:styleId="BoldandItalics">
    <w:name w:val="Bold and Italics"/>
    <w:qFormat/>
    <w:rsid w:val="00BC3017"/>
    <w:rPr>
      <w:b/>
      <w:i/>
      <w:u w:val="none"/>
    </w:rPr>
  </w:style>
  <w:style w:type="paragraph" w:styleId="BalloonText">
    <w:name w:val="Balloon Text"/>
    <w:basedOn w:val="Normal"/>
    <w:link w:val="BalloonTextChar"/>
    <w:rsid w:val="00BC3017"/>
    <w:rPr>
      <w:rFonts w:ascii="Tahoma" w:hAnsi="Tahoma" w:cs="Tahoma"/>
      <w:sz w:val="16"/>
      <w:szCs w:val="16"/>
    </w:rPr>
  </w:style>
  <w:style w:type="character" w:customStyle="1" w:styleId="BalloonTextChar">
    <w:name w:val="Balloon Text Char"/>
    <w:basedOn w:val="DefaultParagraphFont"/>
    <w:link w:val="BalloonText"/>
    <w:rsid w:val="00BC30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30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30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3017"/>
    <w:rPr>
      <w:b/>
      <w:color w:val="660033"/>
      <w:spacing w:val="0"/>
    </w:rPr>
  </w:style>
  <w:style w:type="paragraph" w:customStyle="1" w:styleId="Nameditemlist">
    <w:name w:val="Named item list"/>
    <w:basedOn w:val="BodyText"/>
    <w:qFormat/>
    <w:rsid w:val="00BC3017"/>
    <w:pPr>
      <w:tabs>
        <w:tab w:val="left" w:pos="2835"/>
      </w:tabs>
      <w:ind w:left="2835" w:hanging="2835"/>
    </w:pPr>
  </w:style>
  <w:style w:type="paragraph" w:customStyle="1" w:styleId="BodyTextnopadding">
    <w:name w:val="Body Text no padding"/>
    <w:basedOn w:val="BodyText"/>
    <w:qFormat/>
    <w:rsid w:val="00BC3017"/>
    <w:pPr>
      <w:spacing w:before="0" w:after="0"/>
    </w:pPr>
  </w:style>
  <w:style w:type="paragraph" w:customStyle="1" w:styleId="BodyTextBold">
    <w:name w:val="Body Text Bold"/>
    <w:basedOn w:val="BodyText"/>
    <w:qFormat/>
    <w:rsid w:val="00BC3017"/>
    <w:rPr>
      <w:b/>
    </w:rPr>
  </w:style>
  <w:style w:type="character" w:styleId="Hyperlink">
    <w:name w:val="Hyperlink"/>
    <w:basedOn w:val="DefaultParagraphFont"/>
    <w:uiPriority w:val="99"/>
    <w:unhideWhenUsed/>
    <w:rsid w:val="00C96F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732</Words>
  <Characters>4743</Characters>
  <Application>Microsoft Office Word</Application>
  <DocSecurity>0</DocSecurity>
  <Lines>249</Lines>
  <Paragraphs>144</Paragraphs>
  <ScaleCrop>false</ScaleCrop>
  <Company>Author-it Software Corporation Ltd.</Company>
  <LinksUpToDate>false</LinksUpToDate>
  <CharactersWithSpaces>5331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MSFMB2001 Prepare and assemble base unit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2022-06-03T07:36:00Z</dcterms:created>
  <dcterms:modified xsi:type="dcterms:W3CDTF">2022-06-03T07:36:00Z</dcterms:modified>
</cp:coreProperties>
</file>