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2D4" w:rsidP="00C87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MSFKB4011 Design ancillary residential cabinetry</w:t>
      </w:r>
      <w:r>
        <w:fldChar w:fldCharType="end"/>
      </w:r>
    </w:p>
    <w:p w:rsidR="00C872D4" w:rsidP="00C872D4">
      <w:pPr>
        <w:pStyle w:val="Version"/>
        <w:sectPr w:rsidSect="000D0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1EB" w:rsidP="000D01EB">
      <w:pPr>
        <w:pStyle w:val="SuperHeading"/>
      </w:pPr>
      <w:r w:rsidRPr="000D01EB">
        <w:t>Assessment Requirements for MSFKB4011 Design ancillary residential cabinetry</w:t>
      </w:r>
    </w:p>
    <w:p w:rsidR="00000000" w:rsidRPr="000D01EB" w:rsidP="000D01EB">
      <w:pPr>
        <w:pStyle w:val="Heading1"/>
      </w:pPr>
      <w:bookmarkStart w:id="1" w:name="O_1015208"/>
      <w:bookmarkEnd w:id="1"/>
      <w:r w:rsidRPr="000D01EB">
        <w:t>Modification History</w:t>
      </w:r>
    </w:p>
    <w:p w:rsidR="00C872D4" w:rsidP="00C872D4">
      <w:pPr>
        <w:pStyle w:val="BodyText"/>
      </w:pPr>
      <w:r w:rsidRPr="000D01EB">
        <w:t>Release 1. Supersedes and is equivalent to MSFKB4007 Design ancillary residential cabinetry.</w:t>
      </w:r>
    </w:p>
    <w:p w:rsidR="00000000" w:rsidRPr="000D01EB" w:rsidP="000D01EB">
      <w:pPr>
        <w:pStyle w:val="Heading1"/>
      </w:pPr>
      <w:bookmarkStart w:id="2" w:name="O_1015209"/>
      <w:bookmarkEnd w:id="2"/>
      <w:r w:rsidRPr="000D01EB">
        <w:t>Performance Evidence</w:t>
      </w:r>
    </w:p>
    <w:p w:rsidR="00000000" w:rsidRPr="000D01EB" w:rsidP="00C872D4">
      <w:pPr>
        <w:pStyle w:val="BodyText"/>
      </w:pPr>
      <w:r w:rsidRPr="000D01EB">
        <w:t>There must be evidence the candidate has completed the tasks outlined in the elements and performance criteria of this unit, and:</w:t>
      </w:r>
    </w:p>
    <w:p w:rsidR="00000000" w:rsidRPr="000D01EB" w:rsidP="000D01EB">
      <w:pPr>
        <w:pStyle w:val="ListBullet"/>
      </w:pPr>
      <w:r w:rsidRPr="000D01EB">
        <w:t>designed, documented and presented 3 of the following ancillary cabinetry solutions with cost estimates:</w:t>
      </w:r>
    </w:p>
    <w:p w:rsidR="00000000" w:rsidRPr="000D01EB" w:rsidP="000D01EB">
      <w:pPr>
        <w:pStyle w:val="ListBullet2"/>
      </w:pPr>
      <w:r w:rsidRPr="000D01EB">
        <w:t>dressing rooms</w:t>
      </w:r>
    </w:p>
    <w:p w:rsidR="00000000" w:rsidRPr="000D01EB" w:rsidP="000D01EB">
      <w:pPr>
        <w:pStyle w:val="ListBullet2"/>
      </w:pPr>
      <w:r w:rsidRPr="000D01EB">
        <w:t>ente</w:t>
      </w:r>
      <w:r w:rsidRPr="000D01EB">
        <w:t>rtainment units</w:t>
      </w:r>
    </w:p>
    <w:p w:rsidR="00000000" w:rsidRPr="000D01EB" w:rsidP="000D01EB">
      <w:pPr>
        <w:pStyle w:val="ListBullet2"/>
      </w:pPr>
      <w:r w:rsidRPr="000D01EB">
        <w:t>home offices</w:t>
      </w:r>
    </w:p>
    <w:p w:rsidR="00000000" w:rsidRPr="000D01EB" w:rsidP="000D01EB">
      <w:pPr>
        <w:pStyle w:val="ListBullet2"/>
      </w:pPr>
      <w:r w:rsidRPr="000D01EB">
        <w:t>shelving units and/or cupboards</w:t>
      </w:r>
    </w:p>
    <w:p w:rsidR="00000000" w:rsidRPr="000D01EB" w:rsidP="000D01EB">
      <w:pPr>
        <w:pStyle w:val="ListBullet2"/>
      </w:pPr>
      <w:r w:rsidRPr="000D01EB">
        <w:t>wine cellars</w:t>
      </w:r>
    </w:p>
    <w:p w:rsidR="00C872D4" w:rsidP="000D01EB">
      <w:pPr>
        <w:pStyle w:val="ListBullet2"/>
      </w:pPr>
      <w:r w:rsidRPr="000D01EB">
        <w:t>work rooms.</w:t>
      </w:r>
    </w:p>
    <w:p w:rsidR="00C872D4" w:rsidP="000D01EB">
      <w:pPr>
        <w:pStyle w:val="ListBullet2"/>
      </w:pPr>
    </w:p>
    <w:p w:rsidR="00000000" w:rsidRPr="000D01EB" w:rsidP="000D01EB">
      <w:pPr>
        <w:pStyle w:val="Heading1"/>
      </w:pPr>
      <w:bookmarkStart w:id="3" w:name="O_1015210"/>
      <w:bookmarkEnd w:id="3"/>
      <w:r w:rsidRPr="000D01EB">
        <w:t>Knowledge Evidence</w:t>
      </w:r>
    </w:p>
    <w:p w:rsidR="00000000" w:rsidRPr="000D01EB" w:rsidP="00C872D4">
      <w:pPr>
        <w:pStyle w:val="BodyText"/>
      </w:pPr>
      <w:r w:rsidRPr="000D01EB">
        <w:t>There must be evidence the candidate has knowledge of:</w:t>
      </w:r>
    </w:p>
    <w:p w:rsidR="00000000" w:rsidRPr="000D01EB" w:rsidP="000D01EB">
      <w:pPr>
        <w:pStyle w:val="ListBullet"/>
      </w:pPr>
      <w:r w:rsidRPr="000D01EB">
        <w:t xml:space="preserve">mathematical procedures for estimation and measurement </w:t>
      </w:r>
    </w:p>
    <w:p w:rsidR="00000000" w:rsidRPr="000D01EB" w:rsidP="000D01EB">
      <w:pPr>
        <w:pStyle w:val="ListBullet"/>
      </w:pPr>
      <w:r w:rsidRPr="000D01EB">
        <w:t>compliance requirements for cabinetry in relation to:</w:t>
      </w:r>
    </w:p>
    <w:p w:rsidR="00000000" w:rsidRPr="000D01EB" w:rsidP="000D01EB">
      <w:pPr>
        <w:pStyle w:val="ListBullet2"/>
      </w:pPr>
      <w:r w:rsidRPr="000D01EB">
        <w:t>safety</w:t>
      </w:r>
    </w:p>
    <w:p w:rsidR="00000000" w:rsidRPr="000D01EB" w:rsidP="000D01EB">
      <w:pPr>
        <w:pStyle w:val="ListBullet2"/>
      </w:pPr>
      <w:r w:rsidRPr="000D01EB">
        <w:t>sustainability</w:t>
      </w:r>
    </w:p>
    <w:p w:rsidR="00000000" w:rsidRPr="000D01EB" w:rsidP="000D01EB">
      <w:pPr>
        <w:pStyle w:val="ListBullet"/>
      </w:pPr>
      <w:r w:rsidRPr="000D01EB">
        <w:t>sources of information on cabinetry products, their features and costs</w:t>
      </w:r>
    </w:p>
    <w:p w:rsidR="00000000" w:rsidRPr="000D01EB" w:rsidP="000D01EB">
      <w:pPr>
        <w:pStyle w:val="ListBullet"/>
      </w:pPr>
      <w:r w:rsidRPr="000D01EB">
        <w:t xml:space="preserve">types, characteristics, uses and limitations of different types of cabinets: </w:t>
      </w:r>
    </w:p>
    <w:p w:rsidR="00000000" w:rsidRPr="000D01EB" w:rsidP="000D01EB">
      <w:pPr>
        <w:pStyle w:val="ListBullet2"/>
      </w:pPr>
      <w:r w:rsidRPr="000D01EB">
        <w:t>dressing rooms</w:t>
      </w:r>
    </w:p>
    <w:p w:rsidR="00000000" w:rsidRPr="000D01EB" w:rsidP="000D01EB">
      <w:pPr>
        <w:pStyle w:val="ListBullet2"/>
      </w:pPr>
      <w:r w:rsidRPr="000D01EB">
        <w:t>entertainment</w:t>
      </w:r>
      <w:r w:rsidRPr="000D01EB">
        <w:t xml:space="preserve"> units</w:t>
      </w:r>
    </w:p>
    <w:p w:rsidR="00000000" w:rsidRPr="000D01EB" w:rsidP="000D01EB">
      <w:pPr>
        <w:pStyle w:val="ListBullet2"/>
      </w:pPr>
      <w:r w:rsidRPr="000D01EB">
        <w:t>home offices</w:t>
      </w:r>
    </w:p>
    <w:p w:rsidR="00000000" w:rsidRPr="000D01EB" w:rsidP="000D01EB">
      <w:pPr>
        <w:pStyle w:val="ListBullet2"/>
      </w:pPr>
      <w:r w:rsidRPr="000D01EB">
        <w:t>shelving units and/or cupboards</w:t>
      </w:r>
    </w:p>
    <w:p w:rsidR="00000000" w:rsidRPr="000D01EB" w:rsidP="000D01EB">
      <w:pPr>
        <w:pStyle w:val="ListBullet2"/>
      </w:pPr>
      <w:r w:rsidRPr="000D01EB">
        <w:t>wine cellars</w:t>
      </w:r>
    </w:p>
    <w:p w:rsidR="00000000" w:rsidRPr="000D01EB" w:rsidP="000D01EB">
      <w:pPr>
        <w:pStyle w:val="ListBullet2"/>
      </w:pPr>
      <w:r w:rsidRPr="000D01EB">
        <w:t>work rooms</w:t>
      </w:r>
    </w:p>
    <w:p w:rsidR="00000000" w:rsidRPr="000D01EB" w:rsidP="000D01EB">
      <w:pPr>
        <w:pStyle w:val="ListBullet"/>
      </w:pPr>
      <w:r w:rsidRPr="000D01EB">
        <w:t>different client requirements and design parameters and how these impact cabinet design</w:t>
      </w:r>
    </w:p>
    <w:p w:rsidR="00000000" w:rsidRPr="000D01EB" w:rsidP="000D01EB">
      <w:pPr>
        <w:pStyle w:val="ListBullet2"/>
      </w:pPr>
      <w:r w:rsidRPr="000D01EB">
        <w:t>budget</w:t>
      </w:r>
    </w:p>
    <w:p w:rsidR="00000000" w:rsidRPr="000D01EB" w:rsidP="000D01EB">
      <w:pPr>
        <w:pStyle w:val="ListBullet2"/>
      </w:pPr>
      <w:r w:rsidRPr="000D01EB">
        <w:t>colour, style and tone</w:t>
      </w:r>
    </w:p>
    <w:p w:rsidR="00000000" w:rsidRPr="000D01EB" w:rsidP="000D01EB">
      <w:pPr>
        <w:pStyle w:val="ListBullet2"/>
      </w:pPr>
      <w:r w:rsidRPr="000D01EB">
        <w:t>embedded technology</w:t>
      </w:r>
    </w:p>
    <w:p w:rsidR="00000000" w:rsidRPr="000D01EB" w:rsidP="000D01EB">
      <w:pPr>
        <w:pStyle w:val="ListBullet2"/>
      </w:pPr>
      <w:r w:rsidRPr="000D01EB">
        <w:t>quality of finish</w:t>
      </w:r>
    </w:p>
    <w:p w:rsidR="00000000" w:rsidRPr="000D01EB" w:rsidP="000D01EB">
      <w:pPr>
        <w:pStyle w:val="ListBullet2"/>
      </w:pPr>
      <w:r w:rsidRPr="000D01EB">
        <w:t>relationship with other features of the room</w:t>
      </w:r>
    </w:p>
    <w:p w:rsidR="00000000" w:rsidRPr="000D01EB" w:rsidP="000D01EB">
      <w:pPr>
        <w:pStyle w:val="ListBullet2"/>
      </w:pPr>
      <w:r w:rsidRPr="000D01EB">
        <w:t xml:space="preserve">structural and functional requirements </w:t>
      </w:r>
    </w:p>
    <w:p w:rsidR="00000000" w:rsidRPr="000D01EB" w:rsidP="000D01EB">
      <w:pPr>
        <w:pStyle w:val="ListBullet2"/>
      </w:pPr>
      <w:r w:rsidRPr="000D01EB">
        <w:t xml:space="preserve">timeline </w:t>
      </w:r>
    </w:p>
    <w:p w:rsidR="00000000" w:rsidRPr="000D01EB" w:rsidP="000D01EB">
      <w:pPr>
        <w:pStyle w:val="ListBullet"/>
      </w:pPr>
      <w:r w:rsidRPr="000D01EB">
        <w:t>options for cabinetry structure, materials and components and their suitability for different applications</w:t>
      </w:r>
    </w:p>
    <w:p w:rsidR="00000000" w:rsidRPr="000D01EB" w:rsidP="000D01EB">
      <w:pPr>
        <w:pStyle w:val="ListBullet"/>
      </w:pPr>
      <w:r w:rsidRPr="000D01EB">
        <w:t>cabinet construction and installation methods and con</w:t>
      </w:r>
      <w:r w:rsidRPr="000D01EB">
        <w:t>siderations and how these impact the design selection</w:t>
      </w:r>
    </w:p>
    <w:p w:rsidR="00000000" w:rsidRPr="000D01EB" w:rsidP="000D01EB">
      <w:pPr>
        <w:pStyle w:val="ListBullet"/>
      </w:pPr>
      <w:r w:rsidRPr="000D01EB">
        <w:t>sketching and drawing techniques, protocols and symbols</w:t>
      </w:r>
    </w:p>
    <w:p w:rsidR="00000000" w:rsidRPr="000D01EB" w:rsidP="000D01EB">
      <w:pPr>
        <w:pStyle w:val="ListBullet"/>
      </w:pPr>
      <w:r w:rsidRPr="000D01EB">
        <w:t>formats and required inclusions for design specifications</w:t>
      </w:r>
    </w:p>
    <w:p w:rsidR="00C872D4" w:rsidP="000D01EB">
      <w:pPr>
        <w:pStyle w:val="ListBullet"/>
      </w:pPr>
      <w:r w:rsidRPr="000D01EB">
        <w:t>processes for calculating and documenting cabinetry costs.</w:t>
      </w:r>
    </w:p>
    <w:p w:rsidR="00C872D4" w:rsidP="000D01EB">
      <w:pPr>
        <w:pStyle w:val="ListBullet"/>
      </w:pPr>
    </w:p>
    <w:p w:rsidR="00000000" w:rsidRPr="000D01EB" w:rsidP="000D01EB">
      <w:pPr>
        <w:pStyle w:val="Heading1"/>
      </w:pPr>
      <w:bookmarkStart w:id="4" w:name="O_1015211"/>
      <w:bookmarkEnd w:id="4"/>
      <w:r w:rsidRPr="000D01EB">
        <w:t>Assessment Conditions</w:t>
      </w:r>
    </w:p>
    <w:p w:rsidR="00000000" w:rsidRPr="000D01EB" w:rsidP="00C872D4">
      <w:pPr>
        <w:pStyle w:val="BodyText"/>
      </w:pPr>
      <w:r w:rsidRPr="000D01E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D01EB" w:rsidP="000D01EB">
      <w:pPr>
        <w:pStyle w:val="ListBullet"/>
      </w:pPr>
      <w:r w:rsidRPr="000D01EB">
        <w:t>use of suitable facilities, equipment and re</w:t>
      </w:r>
      <w:r w:rsidRPr="000D01EB">
        <w:t xml:space="preserve">sources, including: </w:t>
      </w:r>
    </w:p>
    <w:p w:rsidR="00000000" w:rsidRPr="000D01EB" w:rsidP="000D01EB">
      <w:pPr>
        <w:pStyle w:val="ListBullet2"/>
      </w:pPr>
      <w:r w:rsidRPr="000D01EB">
        <w:t>design briefs</w:t>
      </w:r>
    </w:p>
    <w:p w:rsidR="00000000" w:rsidRPr="000D01EB" w:rsidP="000D01EB">
      <w:pPr>
        <w:pStyle w:val="ListBullet2"/>
      </w:pPr>
      <w:r w:rsidRPr="000D01EB">
        <w:t>spaces for cabinetry</w:t>
      </w:r>
    </w:p>
    <w:p w:rsidR="00000000" w:rsidRPr="000D01EB" w:rsidP="000D01EB">
      <w:pPr>
        <w:pStyle w:val="ListBullet2"/>
      </w:pPr>
      <w:r w:rsidRPr="000D01EB">
        <w:t>measuring equipment</w:t>
      </w:r>
    </w:p>
    <w:p w:rsidR="00000000" w:rsidRPr="000D01EB" w:rsidP="000D01EB">
      <w:pPr>
        <w:pStyle w:val="ListBullet2"/>
      </w:pPr>
      <w:r w:rsidRPr="000D01EB">
        <w:t>information technology for document creation</w:t>
      </w:r>
    </w:p>
    <w:p w:rsidR="00000000" w:rsidRPr="000D01EB" w:rsidP="000D01EB">
      <w:pPr>
        <w:pStyle w:val="ListBullet2"/>
      </w:pPr>
      <w:r w:rsidRPr="000D01EB">
        <w:t>manual and computer aided drawing materials.</w:t>
      </w:r>
    </w:p>
    <w:p w:rsidR="00C872D4" w:rsidP="00C872D4">
      <w:pPr>
        <w:pStyle w:val="BodyText"/>
      </w:pPr>
      <w:r w:rsidRPr="000D01EB">
        <w:t>Assessors must satisfy the NVR/AQTF mandatory competency requirements for assessors.</w:t>
      </w:r>
    </w:p>
    <w:p w:rsidR="00000000" w:rsidRPr="000D01EB" w:rsidP="000D01EB">
      <w:pPr>
        <w:pStyle w:val="Heading1"/>
      </w:pPr>
      <w:bookmarkStart w:id="5" w:name="O_1015214"/>
      <w:bookmarkEnd w:id="5"/>
      <w:r w:rsidRPr="000D01EB">
        <w:t>Links</w:t>
      </w:r>
    </w:p>
    <w:p w:rsidR="00000000" w:rsidRPr="000D01EB" w:rsidP="00C872D4">
      <w:pPr>
        <w:pStyle w:val="BodyText"/>
      </w:pPr>
      <w:r w:rsidRPr="000D01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220C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D01EB" w:rsidP="000D01EB"/>
    <w:sectPr w:rsidSect="000D0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EB" w:rsidRPr="00C872D4" w:rsidP="00C87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2D4" w:rsidP="000D0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72D4" w:rsidP="000D0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72D4" w:rsidP="000D0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1EB" w:rsidRPr="00C872D4" w:rsidP="00C87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2D4" w:rsidRPr="002D2AF8" w:rsidP="000D0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MSFKB4011 Design ancillary residential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872D4" w:rsidP="000D0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B2B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CD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AC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1EB"/>
  </w:style>
  <w:style w:type="character" w:customStyle="1" w:styleId="Heading1Char">
    <w:name w:val="Heading 1 Char"/>
    <w:basedOn w:val="DefaultParagraphFont"/>
    <w:link w:val="Heading1"/>
    <w:rsid w:val="000D0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1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01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1EB"/>
    <w:rPr>
      <w:b/>
      <w:spacing w:val="0"/>
    </w:rPr>
  </w:style>
  <w:style w:type="paragraph" w:customStyle="1" w:styleId="SuperTitle">
    <w:name w:val="SuperTitle"/>
    <w:basedOn w:val="Title"/>
    <w:rsid w:val="000D0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1EB"/>
    <w:rPr>
      <w:i/>
    </w:rPr>
  </w:style>
  <w:style w:type="paragraph" w:styleId="Caption">
    <w:name w:val="caption"/>
    <w:basedOn w:val="BodyText"/>
    <w:next w:val="Normal"/>
    <w:qFormat/>
    <w:rsid w:val="000D0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1EB"/>
  </w:style>
  <w:style w:type="paragraph" w:styleId="TableofFigures">
    <w:name w:val="table of figures"/>
    <w:basedOn w:val="Normal"/>
    <w:next w:val="Normal"/>
    <w:semiHidden/>
    <w:rsid w:val="000D0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1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1EB"/>
    <w:rPr>
      <w:rFonts w:ascii="Wingdings" w:hAnsi="Wingdings"/>
    </w:rPr>
  </w:style>
  <w:style w:type="paragraph" w:customStyle="1" w:styleId="TableHeading">
    <w:name w:val="Table Heading"/>
    <w:basedOn w:val="HeadingBase"/>
    <w:rsid w:val="000D0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1EB"/>
    <w:rPr>
      <w:color w:val="0033CC"/>
      <w:u w:val="none"/>
    </w:rPr>
  </w:style>
  <w:style w:type="paragraph" w:customStyle="1" w:styleId="BodyTextRight">
    <w:name w:val="Body Text Right"/>
    <w:basedOn w:val="BodyText"/>
    <w:rsid w:val="000D0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1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1EB"/>
    <w:rPr>
      <w:sz w:val="32"/>
    </w:rPr>
  </w:style>
  <w:style w:type="paragraph" w:customStyle="1" w:styleId="HeadingProcedure">
    <w:name w:val="Heading Procedure"/>
    <w:basedOn w:val="HeadingBase"/>
    <w:next w:val="Normal"/>
    <w:rsid w:val="000D0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1EB"/>
    <w:pPr>
      <w:spacing w:before="60" w:after="60"/>
    </w:pPr>
  </w:style>
  <w:style w:type="paragraph" w:styleId="ListContinue">
    <w:name w:val="List Continue"/>
    <w:basedOn w:val="List"/>
    <w:rsid w:val="000D01EB"/>
    <w:pPr>
      <w:ind w:firstLine="0"/>
    </w:pPr>
  </w:style>
  <w:style w:type="paragraph" w:customStyle="1" w:styleId="ListNote">
    <w:name w:val="List Note"/>
    <w:basedOn w:val="List"/>
    <w:rsid w:val="000D0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1EB"/>
    <w:rPr>
      <w:rFonts w:ascii="Courier New" w:hAnsi="Courier New"/>
    </w:rPr>
  </w:style>
  <w:style w:type="paragraph" w:customStyle="1" w:styleId="NoteBullet">
    <w:name w:val="Note Bullet"/>
    <w:basedOn w:val="Note"/>
    <w:rsid w:val="000D0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1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1EB"/>
    <w:rPr>
      <w:b/>
      <w:smallCaps/>
    </w:rPr>
  </w:style>
  <w:style w:type="paragraph" w:customStyle="1" w:styleId="TableListNumber">
    <w:name w:val="Table List Number"/>
    <w:basedOn w:val="ListNumber"/>
    <w:rsid w:val="000D0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1EB"/>
    <w:pPr>
      <w:numPr>
        <w:numId w:val="9"/>
      </w:numPr>
    </w:pPr>
  </w:style>
  <w:style w:type="paragraph" w:customStyle="1" w:styleId="ListAlpha2">
    <w:name w:val="List Alpha 2"/>
    <w:basedOn w:val="List2"/>
    <w:rsid w:val="000D01EB"/>
    <w:pPr>
      <w:numPr>
        <w:numId w:val="8"/>
      </w:numPr>
    </w:pPr>
  </w:style>
  <w:style w:type="paragraph" w:styleId="List2">
    <w:name w:val="List 2"/>
    <w:basedOn w:val="BodyText"/>
    <w:rsid w:val="000D0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1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1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1EB"/>
    <w:pPr>
      <w:numPr>
        <w:numId w:val="4"/>
      </w:numPr>
    </w:pPr>
  </w:style>
  <w:style w:type="paragraph" w:styleId="ListContinue2">
    <w:name w:val="List Continue 2"/>
    <w:basedOn w:val="List2"/>
    <w:rsid w:val="000D01EB"/>
    <w:pPr>
      <w:ind w:firstLine="0"/>
    </w:pPr>
  </w:style>
  <w:style w:type="paragraph" w:styleId="ListContinue3">
    <w:name w:val="List Continue 3"/>
    <w:basedOn w:val="List3"/>
    <w:rsid w:val="000D01EB"/>
    <w:pPr>
      <w:ind w:left="1021" w:firstLine="0"/>
    </w:pPr>
  </w:style>
  <w:style w:type="paragraph" w:styleId="ListContinue4">
    <w:name w:val="List Continue 4"/>
    <w:basedOn w:val="List4"/>
    <w:rsid w:val="000D01EB"/>
    <w:pPr>
      <w:ind w:firstLine="0"/>
    </w:pPr>
  </w:style>
  <w:style w:type="paragraph" w:styleId="ListContinue5">
    <w:name w:val="List Continue 5"/>
    <w:basedOn w:val="List5"/>
    <w:rsid w:val="000D01EB"/>
    <w:pPr>
      <w:ind w:firstLine="0"/>
    </w:pPr>
  </w:style>
  <w:style w:type="paragraph" w:styleId="ListNumber3">
    <w:name w:val="List Number 3"/>
    <w:basedOn w:val="List3"/>
    <w:rsid w:val="000D01EB"/>
    <w:pPr>
      <w:numPr>
        <w:numId w:val="5"/>
      </w:numPr>
    </w:pPr>
  </w:style>
  <w:style w:type="paragraph" w:styleId="ListNumber4">
    <w:name w:val="List Number 4"/>
    <w:basedOn w:val="List4"/>
    <w:rsid w:val="000D01EB"/>
    <w:pPr>
      <w:numPr>
        <w:numId w:val="6"/>
      </w:numPr>
    </w:pPr>
  </w:style>
  <w:style w:type="paragraph" w:styleId="ListNumber5">
    <w:name w:val="List Number 5"/>
    <w:basedOn w:val="List5"/>
    <w:rsid w:val="000D01EB"/>
    <w:pPr>
      <w:numPr>
        <w:numId w:val="7"/>
      </w:numPr>
    </w:pPr>
  </w:style>
  <w:style w:type="paragraph" w:styleId="BlockText">
    <w:name w:val="Block Text"/>
    <w:basedOn w:val="Normal"/>
    <w:rsid w:val="000D0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1EB"/>
    <w:rPr>
      <w:sz w:val="16"/>
      <w:vertAlign w:val="superscript"/>
    </w:rPr>
  </w:style>
  <w:style w:type="character" w:customStyle="1" w:styleId="Symbols">
    <w:name w:val="Symbols"/>
    <w:basedOn w:val="DefaultParagraphFont"/>
    <w:rsid w:val="000D01EB"/>
    <w:rPr>
      <w:rFonts w:ascii="Symbol" w:hAnsi="Symbol"/>
    </w:rPr>
  </w:style>
  <w:style w:type="character" w:customStyle="1" w:styleId="MenuOptions">
    <w:name w:val="Menu Options"/>
    <w:basedOn w:val="DefaultParagraphFont"/>
    <w:rsid w:val="000D0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1EB"/>
    <w:rPr>
      <w:b/>
    </w:rPr>
  </w:style>
  <w:style w:type="character" w:customStyle="1" w:styleId="Underlined">
    <w:name w:val="Underlined"/>
    <w:basedOn w:val="DefaultParagraphFont"/>
    <w:rsid w:val="000D01EB"/>
    <w:rPr>
      <w:u w:val="single"/>
    </w:rPr>
  </w:style>
  <w:style w:type="paragraph" w:customStyle="1" w:styleId="TableBodyTextRight">
    <w:name w:val="Table Body Text Right"/>
    <w:basedOn w:val="TableBodyText"/>
    <w:rsid w:val="000D0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1EB"/>
    <w:rPr>
      <w:sz w:val="18"/>
    </w:rPr>
  </w:style>
  <w:style w:type="paragraph" w:customStyle="1" w:styleId="BodySmallRight">
    <w:name w:val="Body Small Right"/>
    <w:basedOn w:val="BodyTextRight"/>
    <w:rsid w:val="000D01EB"/>
    <w:rPr>
      <w:sz w:val="18"/>
      <w:szCs w:val="18"/>
    </w:rPr>
  </w:style>
  <w:style w:type="paragraph" w:customStyle="1" w:styleId="MarginEdition">
    <w:name w:val="Margin Edition"/>
    <w:basedOn w:val="MarginNote"/>
    <w:rsid w:val="000D0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1EB"/>
    <w:rPr>
      <w:sz w:val="2"/>
      <w:szCs w:val="2"/>
    </w:rPr>
  </w:style>
  <w:style w:type="character" w:customStyle="1" w:styleId="Small">
    <w:name w:val="Small"/>
    <w:basedOn w:val="DefaultParagraphFont"/>
    <w:rsid w:val="000D01EB"/>
    <w:rPr>
      <w:sz w:val="16"/>
    </w:rPr>
  </w:style>
  <w:style w:type="paragraph" w:customStyle="1" w:styleId="WideTable">
    <w:name w:val="Wide Table"/>
    <w:basedOn w:val="Normal"/>
    <w:rsid w:val="000D0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1EB"/>
  </w:style>
  <w:style w:type="paragraph" w:styleId="Quote">
    <w:name w:val="Quote"/>
    <w:basedOn w:val="Heading1"/>
    <w:link w:val="QuoteChar"/>
    <w:qFormat/>
    <w:rsid w:val="000D0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1EB"/>
    <w:pPr>
      <w:pageBreakBefore/>
    </w:pPr>
  </w:style>
  <w:style w:type="paragraph" w:customStyle="1" w:styleId="Border">
    <w:name w:val="Border"/>
    <w:basedOn w:val="Normal"/>
    <w:qFormat/>
    <w:rsid w:val="000D0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1EB"/>
    <w:rPr>
      <w:u w:val="single"/>
    </w:rPr>
  </w:style>
  <w:style w:type="character" w:customStyle="1" w:styleId="BoldandItalics">
    <w:name w:val="Bold and Italics"/>
    <w:qFormat/>
    <w:rsid w:val="000D01EB"/>
    <w:rPr>
      <w:b/>
      <w:i/>
      <w:u w:val="none"/>
    </w:rPr>
  </w:style>
  <w:style w:type="paragraph" w:styleId="BalloonText">
    <w:name w:val="Balloon Text"/>
    <w:basedOn w:val="Normal"/>
    <w:link w:val="BalloonTextChar"/>
    <w:rsid w:val="000D0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1EB"/>
    <w:pPr>
      <w:spacing w:before="0" w:after="0"/>
    </w:pPr>
  </w:style>
  <w:style w:type="paragraph" w:customStyle="1" w:styleId="BodyTextBold">
    <w:name w:val="Body Text Bold"/>
    <w:basedOn w:val="BodyText"/>
    <w:qFormat/>
    <w:rsid w:val="000D01EB"/>
    <w:rPr>
      <w:b/>
    </w:rPr>
  </w:style>
  <w:style w:type="character" w:styleId="Hyperlink">
    <w:name w:val="Hyperlink"/>
    <w:basedOn w:val="DefaultParagraphFont"/>
    <w:uiPriority w:val="99"/>
    <w:unhideWhenUsed/>
    <w:rsid w:val="00C87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2249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MSFKB4011 Design ancillary residential cabinetry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