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1EE" w:rsidP="00000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MSFKB4009 Determine spatial planning considerations for kitchen design</w:t>
      </w:r>
      <w:r>
        <w:fldChar w:fldCharType="end"/>
      </w:r>
    </w:p>
    <w:p w:rsidR="000001EE" w:rsidP="000001EE">
      <w:pPr>
        <w:pStyle w:val="Version"/>
        <w:sectPr w:rsidSect="00E83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1D0" w:rsidP="00E831D0">
      <w:pPr>
        <w:pStyle w:val="SuperHeading"/>
      </w:pPr>
      <w:r w:rsidRPr="00E831D0">
        <w:t>Assessment Requirements for MSFKB4009 Determine spatial planning considerations for kitchen design</w:t>
      </w:r>
    </w:p>
    <w:p w:rsidR="00000000" w:rsidRPr="00E831D0" w:rsidP="00E831D0">
      <w:pPr>
        <w:pStyle w:val="Heading1"/>
      </w:pPr>
      <w:bookmarkStart w:id="1" w:name="O_1015043"/>
      <w:bookmarkEnd w:id="1"/>
      <w:r w:rsidRPr="00E831D0">
        <w:t>Modification History</w:t>
      </w:r>
    </w:p>
    <w:p w:rsidR="00000000" w:rsidRPr="00E831D0" w:rsidP="000001EE">
      <w:pPr>
        <w:pStyle w:val="BodyText"/>
      </w:pPr>
      <w:r w:rsidRPr="00E831D0">
        <w:t>Release 1. Supersedes and is equivalent to MSFKB4001 Determine spatial planning considerations for kitchen design.</w:t>
      </w:r>
    </w:p>
    <w:p w:rsidR="00000000" w:rsidRPr="00E831D0" w:rsidP="00E831D0">
      <w:pPr>
        <w:pStyle w:val="Heading1"/>
      </w:pPr>
      <w:bookmarkStart w:id="2" w:name="O_1015044"/>
      <w:bookmarkEnd w:id="2"/>
      <w:r w:rsidRPr="00E831D0">
        <w:t>Performance Evidence</w:t>
      </w:r>
    </w:p>
    <w:p w:rsidR="00000000" w:rsidRPr="00E831D0" w:rsidP="000001EE">
      <w:pPr>
        <w:pStyle w:val="BodyText"/>
      </w:pPr>
      <w:r w:rsidRPr="00E831D0">
        <w:t xml:space="preserve">There must be evidence the candidate has completed the tasks outlined in the elements and performance criteria of this unit, and: </w:t>
      </w:r>
    </w:p>
    <w:p w:rsidR="00000000" w:rsidRPr="00E831D0" w:rsidP="00E831D0">
      <w:pPr>
        <w:pStyle w:val="ListBullet"/>
      </w:pPr>
      <w:r w:rsidRPr="00E831D0">
        <w:t>determined and documented spatial planning considerations for 3 different kitchens, 1</w:t>
      </w:r>
      <w:r w:rsidRPr="00E831D0">
        <w:t xml:space="preserve"> of which must be a renovation, and 1 of which must be a new build.</w:t>
      </w:r>
    </w:p>
    <w:p w:rsidR="00000000" w:rsidRPr="00E831D0" w:rsidP="00E831D0">
      <w:pPr>
        <w:pStyle w:val="AllowPageBreak"/>
      </w:pPr>
    </w:p>
    <w:p w:rsidR="00000000" w:rsidRPr="00E831D0" w:rsidP="00E831D0">
      <w:pPr>
        <w:pStyle w:val="Heading1"/>
      </w:pPr>
      <w:bookmarkStart w:id="3" w:name="O_1015045"/>
      <w:bookmarkEnd w:id="3"/>
      <w:r w:rsidRPr="00E831D0">
        <w:t>Knowledge Evidence</w:t>
      </w:r>
    </w:p>
    <w:p w:rsidR="00000000" w:rsidRPr="00E831D0" w:rsidP="000001EE">
      <w:pPr>
        <w:pStyle w:val="BodyText"/>
      </w:pPr>
      <w:r w:rsidRPr="00E831D0">
        <w:t>There must be evidence the candidate has knowledge of:</w:t>
      </w:r>
    </w:p>
    <w:p w:rsidR="00000000" w:rsidRPr="00E831D0" w:rsidP="00E831D0">
      <w:pPr>
        <w:pStyle w:val="ListBullet"/>
      </w:pPr>
      <w:r w:rsidRPr="00E831D0">
        <w:t>liveable housing design – current and emerging thinking and trends</w:t>
      </w:r>
    </w:p>
    <w:p w:rsidR="00000000" w:rsidRPr="00E831D0" w:rsidP="00E831D0">
      <w:pPr>
        <w:pStyle w:val="ListBullet"/>
      </w:pPr>
      <w:r w:rsidRPr="00E831D0">
        <w:t>principles of ergonomics an</w:t>
      </w:r>
      <w:r w:rsidRPr="00E831D0">
        <w:t>d their application to kitchen design:</w:t>
      </w:r>
    </w:p>
    <w:p w:rsidR="00000000" w:rsidRPr="00E831D0" w:rsidP="00E831D0">
      <w:pPr>
        <w:pStyle w:val="ListBullet2"/>
      </w:pPr>
      <w:r w:rsidRPr="00E831D0">
        <w:t>clearance (minimum spatial tolerances for access)</w:t>
      </w:r>
    </w:p>
    <w:p w:rsidR="00000000" w:rsidRPr="00E831D0" w:rsidP="00E831D0">
      <w:pPr>
        <w:pStyle w:val="ListBullet2"/>
      </w:pPr>
      <w:r w:rsidRPr="00E831D0">
        <w:t>reach (maximum spatial tolerances and workspace envelope)</w:t>
      </w:r>
    </w:p>
    <w:p w:rsidR="00000000" w:rsidRPr="00E831D0" w:rsidP="00E831D0">
      <w:pPr>
        <w:pStyle w:val="ListBullet"/>
      </w:pPr>
      <w:r w:rsidRPr="00E831D0">
        <w:t>factors for consideration in planning kitchen spaces:</w:t>
      </w:r>
    </w:p>
    <w:p w:rsidR="00000000" w:rsidRPr="00E831D0" w:rsidP="00E831D0">
      <w:pPr>
        <w:pStyle w:val="ListBullet2"/>
      </w:pPr>
      <w:r w:rsidRPr="00E831D0">
        <w:t>clearances – floor, traffic</w:t>
      </w:r>
    </w:p>
    <w:p w:rsidR="00000000" w:rsidRPr="00E831D0" w:rsidP="00E831D0">
      <w:pPr>
        <w:pStyle w:val="ListBullet2"/>
      </w:pPr>
      <w:r w:rsidRPr="00E831D0">
        <w:t>space r</w:t>
      </w:r>
      <w:r w:rsidRPr="00E831D0">
        <w:t>equirements for reaching, bending and crouching</w:t>
      </w:r>
    </w:p>
    <w:p w:rsidR="00000000" w:rsidRPr="00E831D0" w:rsidP="00E831D0">
      <w:pPr>
        <w:pStyle w:val="ListBullet2"/>
      </w:pPr>
      <w:r w:rsidRPr="00E831D0">
        <w:t>eating space requirements</w:t>
      </w:r>
    </w:p>
    <w:p w:rsidR="00000000" w:rsidRPr="00E831D0" w:rsidP="00E831D0">
      <w:pPr>
        <w:pStyle w:val="ListBullet2"/>
      </w:pPr>
      <w:r w:rsidRPr="00E831D0">
        <w:t>additional space requirements for areas such as computers, entertaining and laundry</w:t>
      </w:r>
    </w:p>
    <w:p w:rsidR="00000000" w:rsidRPr="00E831D0" w:rsidP="00E831D0">
      <w:pPr>
        <w:pStyle w:val="ListBullet2"/>
      </w:pPr>
      <w:r w:rsidRPr="00E831D0">
        <w:t>number and types of users of kitchen</w:t>
      </w:r>
    </w:p>
    <w:p w:rsidR="00000000" w:rsidRPr="00E831D0" w:rsidP="00E831D0">
      <w:pPr>
        <w:pStyle w:val="ListBullet2"/>
      </w:pPr>
      <w:r w:rsidRPr="00E831D0">
        <w:t>installation requirements</w:t>
      </w:r>
    </w:p>
    <w:p w:rsidR="00000000" w:rsidRPr="00E831D0" w:rsidP="00E831D0">
      <w:pPr>
        <w:pStyle w:val="ListBullet"/>
      </w:pPr>
      <w:r w:rsidRPr="00E831D0">
        <w:t xml:space="preserve">ways of collating and documenting </w:t>
      </w:r>
      <w:r w:rsidRPr="00E831D0">
        <w:t>information to inform the design process and how to develop itemised schedules</w:t>
      </w:r>
    </w:p>
    <w:p w:rsidR="00000000" w:rsidRPr="00E831D0" w:rsidP="00E831D0">
      <w:pPr>
        <w:pStyle w:val="ListBullet"/>
      </w:pPr>
      <w:r w:rsidRPr="00E831D0">
        <w:t xml:space="preserve">aspects of kitchen design: </w:t>
      </w:r>
    </w:p>
    <w:p w:rsidR="00000000" w:rsidRPr="00E831D0" w:rsidP="00E831D0">
      <w:pPr>
        <w:pStyle w:val="ListBullet2"/>
      </w:pPr>
      <w:r w:rsidRPr="00E831D0">
        <w:t>layout options:</w:t>
      </w:r>
    </w:p>
    <w:p w:rsidR="00000000" w:rsidRPr="00E831D0" w:rsidP="00E831D0">
      <w:pPr>
        <w:pStyle w:val="ListBullet3"/>
      </w:pPr>
      <w:r w:rsidRPr="00E831D0">
        <w:t>island</w:t>
      </w:r>
    </w:p>
    <w:p w:rsidR="00000000" w:rsidRPr="00E831D0" w:rsidP="00E831D0">
      <w:pPr>
        <w:pStyle w:val="ListBullet3"/>
      </w:pPr>
      <w:r w:rsidRPr="00E831D0">
        <w:t>single wall set out</w:t>
      </w:r>
    </w:p>
    <w:p w:rsidR="00000000" w:rsidRPr="00E831D0" w:rsidP="00E831D0">
      <w:pPr>
        <w:pStyle w:val="ListBullet3"/>
      </w:pPr>
      <w:r w:rsidRPr="00E831D0">
        <w:t>galley</w:t>
      </w:r>
    </w:p>
    <w:p w:rsidR="00000000" w:rsidRPr="00E831D0" w:rsidP="00E831D0">
      <w:pPr>
        <w:pStyle w:val="ListBullet3"/>
      </w:pPr>
      <w:r w:rsidRPr="00E831D0">
        <w:t>L-shape</w:t>
      </w:r>
    </w:p>
    <w:p w:rsidR="00000000" w:rsidRPr="00E831D0" w:rsidP="00E831D0">
      <w:pPr>
        <w:pStyle w:val="ListBullet3"/>
      </w:pPr>
      <w:r w:rsidRPr="00E831D0">
        <w:t>U-shape</w:t>
      </w:r>
    </w:p>
    <w:p w:rsidR="00000000" w:rsidRPr="00E831D0" w:rsidP="00E831D0">
      <w:pPr>
        <w:pStyle w:val="ListBullet3"/>
      </w:pPr>
      <w:r w:rsidRPr="00E831D0">
        <w:t>work zones.</w:t>
      </w:r>
    </w:p>
    <w:p w:rsidR="00000000" w:rsidRPr="00E831D0" w:rsidP="00E831D0">
      <w:pPr>
        <w:pStyle w:val="ListBullet2"/>
      </w:pPr>
      <w:r w:rsidRPr="00E831D0">
        <w:t>storage - common requirements, options and storage principles for:</w:t>
      </w:r>
    </w:p>
    <w:p w:rsidR="00000000" w:rsidRPr="00E831D0" w:rsidP="00E831D0">
      <w:pPr>
        <w:pStyle w:val="ListBullet3"/>
      </w:pPr>
      <w:r w:rsidRPr="00E831D0">
        <w:t>food</w:t>
      </w:r>
    </w:p>
    <w:p w:rsidR="00000000" w:rsidRPr="00E831D0" w:rsidP="00E831D0">
      <w:pPr>
        <w:pStyle w:val="ListBullet3"/>
      </w:pPr>
      <w:r w:rsidRPr="00E831D0">
        <w:t>food preparation items</w:t>
      </w:r>
    </w:p>
    <w:p w:rsidR="00000000" w:rsidRPr="00E831D0" w:rsidP="00E831D0">
      <w:pPr>
        <w:pStyle w:val="ListBullet3"/>
      </w:pPr>
      <w:r w:rsidRPr="00E831D0">
        <w:t>food service items</w:t>
      </w:r>
    </w:p>
    <w:p w:rsidR="00000000" w:rsidRPr="00E831D0" w:rsidP="00E831D0">
      <w:pPr>
        <w:pStyle w:val="ListBullet3"/>
      </w:pPr>
      <w:r w:rsidRPr="00E831D0">
        <w:t>cleaning</w:t>
      </w:r>
    </w:p>
    <w:p w:rsidR="00000000" w:rsidRPr="00E831D0" w:rsidP="00E831D0">
      <w:pPr>
        <w:pStyle w:val="ListBullet3"/>
      </w:pPr>
      <w:r w:rsidRPr="00E831D0">
        <w:t xml:space="preserve">composting, recycling and rubbish </w:t>
      </w:r>
    </w:p>
    <w:p w:rsidR="00000000" w:rsidRPr="00E831D0" w:rsidP="00E831D0">
      <w:pPr>
        <w:pStyle w:val="ListBullet3"/>
      </w:pPr>
      <w:r w:rsidRPr="00E831D0">
        <w:t>food storage zone</w:t>
      </w:r>
    </w:p>
    <w:p w:rsidR="00000000" w:rsidRPr="00E831D0" w:rsidP="00E831D0">
      <w:pPr>
        <w:pStyle w:val="ListBullet3"/>
      </w:pPr>
      <w:r w:rsidRPr="00E831D0">
        <w:t>food preparation zone</w:t>
      </w:r>
    </w:p>
    <w:p w:rsidR="00000000" w:rsidRPr="00E831D0" w:rsidP="00E831D0">
      <w:pPr>
        <w:pStyle w:val="ListBullet3"/>
      </w:pPr>
      <w:r w:rsidRPr="00E831D0">
        <w:t>clean-up zone</w:t>
      </w:r>
    </w:p>
    <w:p w:rsidR="00000000" w:rsidRPr="00E831D0" w:rsidP="00E831D0">
      <w:pPr>
        <w:pStyle w:val="ListBullet3"/>
      </w:pPr>
      <w:r w:rsidRPr="00E831D0">
        <w:t>bench top clearances</w:t>
      </w:r>
    </w:p>
    <w:p w:rsidR="00000000" w:rsidRPr="00E831D0" w:rsidP="00E831D0">
      <w:pPr>
        <w:pStyle w:val="ListBullet3"/>
      </w:pPr>
      <w:r w:rsidRPr="00E831D0">
        <w:t>landing space</w:t>
      </w:r>
    </w:p>
    <w:p w:rsidR="00000000" w:rsidRPr="00E831D0" w:rsidP="00E831D0">
      <w:pPr>
        <w:pStyle w:val="ListBullet3"/>
      </w:pPr>
      <w:r w:rsidRPr="00E831D0">
        <w:t>triangle concepts</w:t>
      </w:r>
    </w:p>
    <w:p w:rsidR="00000000" w:rsidRPr="00E831D0" w:rsidP="00E831D0">
      <w:pPr>
        <w:pStyle w:val="ListBullet2"/>
      </w:pPr>
      <w:r w:rsidRPr="00E831D0">
        <w:t>types, characteristics, uses and spatial requirements for different built-in and small appliances</w:t>
      </w:r>
    </w:p>
    <w:p w:rsidR="00000000" w:rsidRPr="00E831D0" w:rsidP="00E831D0">
      <w:pPr>
        <w:pStyle w:val="ListBullet3"/>
      </w:pPr>
      <w:r w:rsidRPr="00E831D0">
        <w:t>coffee machine</w:t>
      </w:r>
    </w:p>
    <w:p w:rsidR="00000000" w:rsidRPr="00E831D0" w:rsidP="00E831D0">
      <w:pPr>
        <w:pStyle w:val="ListBullet3"/>
      </w:pPr>
      <w:r w:rsidRPr="00E831D0">
        <w:t>cook tops of all types</w:t>
      </w:r>
    </w:p>
    <w:p w:rsidR="00000000" w:rsidRPr="00E831D0" w:rsidP="00E831D0">
      <w:pPr>
        <w:pStyle w:val="ListBullet3"/>
      </w:pPr>
      <w:r w:rsidRPr="00E831D0">
        <w:t>dishwasher</w:t>
      </w:r>
    </w:p>
    <w:p w:rsidR="00000000" w:rsidRPr="00E831D0" w:rsidP="00E831D0">
      <w:pPr>
        <w:pStyle w:val="ListBullet3"/>
      </w:pPr>
      <w:r w:rsidRPr="00E831D0">
        <w:t>exhaust systems</w:t>
      </w:r>
    </w:p>
    <w:p w:rsidR="00000000" w:rsidRPr="00E831D0" w:rsidP="00E831D0">
      <w:pPr>
        <w:pStyle w:val="ListBullet3"/>
      </w:pPr>
      <w:r w:rsidRPr="00E831D0">
        <w:t>ovens of all types</w:t>
      </w:r>
    </w:p>
    <w:p w:rsidR="00000000" w:rsidRPr="00E831D0" w:rsidP="00E831D0">
      <w:pPr>
        <w:pStyle w:val="ListBullet3"/>
      </w:pPr>
      <w:r w:rsidRPr="00E831D0">
        <w:t>refrigerator</w:t>
      </w:r>
    </w:p>
    <w:p w:rsidR="00000000" w:rsidRPr="00E831D0" w:rsidP="00E831D0">
      <w:pPr>
        <w:pStyle w:val="ListBullet3"/>
      </w:pPr>
      <w:r w:rsidRPr="00E831D0">
        <w:t>sink</w:t>
      </w:r>
    </w:p>
    <w:p w:rsidR="00000000" w:rsidRPr="00E831D0" w:rsidP="00E831D0">
      <w:pPr>
        <w:pStyle w:val="ListBullet3"/>
      </w:pPr>
      <w:r w:rsidRPr="00E831D0">
        <w:t>small appliances</w:t>
      </w:r>
    </w:p>
    <w:p w:rsidR="00000000" w:rsidRPr="00E831D0" w:rsidP="00E831D0">
      <w:pPr>
        <w:pStyle w:val="ListBullet3"/>
      </w:pPr>
      <w:r w:rsidRPr="00E831D0">
        <w:t>water filtration systems</w:t>
      </w:r>
    </w:p>
    <w:p w:rsidR="00000000" w:rsidRPr="00E831D0" w:rsidP="00E831D0">
      <w:pPr>
        <w:pStyle w:val="ListBullet"/>
      </w:pPr>
      <w:r w:rsidRPr="00E831D0">
        <w:t>types, chara</w:t>
      </w:r>
      <w:r w:rsidRPr="00E831D0">
        <w:t>cteristics and use of different lighting options, both natural and artificial</w:t>
      </w:r>
    </w:p>
    <w:p w:rsidR="00000000" w:rsidRPr="00E831D0" w:rsidP="00E831D0">
      <w:pPr>
        <w:pStyle w:val="ListBullet"/>
      </w:pPr>
      <w:r w:rsidRPr="00E831D0">
        <w:t>types of work impacted by planning and building regulations, and the requirements and regulations that apply, including licensing requirements for</w:t>
      </w:r>
    </w:p>
    <w:p w:rsidR="00000000" w:rsidRPr="00E831D0" w:rsidP="00E831D0">
      <w:pPr>
        <w:pStyle w:val="ListBullet2"/>
      </w:pPr>
      <w:r w:rsidRPr="00E831D0">
        <w:t>electrical, including lighting</w:t>
      </w:r>
    </w:p>
    <w:p w:rsidR="00000000" w:rsidRPr="00E831D0" w:rsidP="00E831D0">
      <w:pPr>
        <w:pStyle w:val="ListBullet2"/>
      </w:pPr>
      <w:r w:rsidRPr="00E831D0">
        <w:t>glazing</w:t>
      </w:r>
    </w:p>
    <w:p w:rsidR="00000000" w:rsidRPr="00E831D0" w:rsidP="00E831D0">
      <w:pPr>
        <w:pStyle w:val="ListBullet2"/>
      </w:pPr>
      <w:r w:rsidRPr="00E831D0">
        <w:t>plumbing</w:t>
      </w:r>
    </w:p>
    <w:p w:rsidR="000001EE" w:rsidP="00E831D0">
      <w:pPr>
        <w:pStyle w:val="ListBullet2"/>
      </w:pPr>
      <w:r w:rsidRPr="00E831D0">
        <w:t>structural changes (movement of walls, installation of new flooring).</w:t>
      </w:r>
    </w:p>
    <w:p w:rsidR="000001EE" w:rsidP="00E831D0">
      <w:pPr>
        <w:pStyle w:val="ListBullet2"/>
      </w:pPr>
    </w:p>
    <w:p w:rsidR="00000000" w:rsidRPr="00E831D0" w:rsidP="00E831D0">
      <w:pPr>
        <w:pStyle w:val="Heading1"/>
      </w:pPr>
      <w:bookmarkStart w:id="4" w:name="O_1015046"/>
      <w:bookmarkEnd w:id="4"/>
      <w:r w:rsidRPr="00E831D0">
        <w:t>Assessment Conditions</w:t>
      </w:r>
    </w:p>
    <w:p w:rsidR="00000000" w:rsidRPr="00E831D0" w:rsidP="000001EE">
      <w:pPr>
        <w:pStyle w:val="BodyText"/>
      </w:pPr>
      <w:r w:rsidRPr="00E831D0">
        <w:t>Skills must have been demonstrated in the workplace or in a simulated environment that reflects workplace conditions and conti</w:t>
      </w:r>
      <w:r w:rsidRPr="00E831D0">
        <w:t xml:space="preserve">ngencies. The following conditions must be met for this unit: </w:t>
      </w:r>
    </w:p>
    <w:p w:rsidR="00000000" w:rsidRPr="00E831D0" w:rsidP="00E831D0">
      <w:pPr>
        <w:pStyle w:val="ListBullet"/>
      </w:pPr>
      <w:r w:rsidRPr="00E831D0">
        <w:t xml:space="preserve">use of suitable facilities, equipment and resources, including: </w:t>
      </w:r>
    </w:p>
    <w:p w:rsidR="00000000" w:rsidRPr="00E831D0" w:rsidP="00E831D0">
      <w:pPr>
        <w:pStyle w:val="ListBullet2"/>
      </w:pPr>
      <w:r w:rsidRPr="00E831D0">
        <w:t>design briefs</w:t>
      </w:r>
    </w:p>
    <w:p w:rsidR="00000000" w:rsidRPr="00E831D0" w:rsidP="00E831D0">
      <w:pPr>
        <w:pStyle w:val="ListBullet2"/>
      </w:pPr>
      <w:r w:rsidRPr="00E831D0">
        <w:t>sites for kitchen designs</w:t>
      </w:r>
    </w:p>
    <w:p w:rsidR="00000000" w:rsidRPr="00E831D0" w:rsidP="00E831D0">
      <w:pPr>
        <w:pStyle w:val="ListBullet2"/>
      </w:pPr>
      <w:r w:rsidRPr="00E831D0">
        <w:t>measuring equipment</w:t>
      </w:r>
    </w:p>
    <w:p w:rsidR="00000000" w:rsidRPr="00E831D0" w:rsidP="00E831D0">
      <w:pPr>
        <w:pStyle w:val="ListBullet2"/>
      </w:pPr>
      <w:r w:rsidRPr="00E831D0">
        <w:t>information technology for document creation.</w:t>
      </w:r>
    </w:p>
    <w:p w:rsidR="000001EE" w:rsidP="000001EE">
      <w:pPr>
        <w:pStyle w:val="BodyText"/>
      </w:pPr>
      <w:r w:rsidRPr="00E831D0">
        <w:t>Assessors must satisfy the NVR/AQTF mandatory competency requirements for assessors</w:t>
      </w:r>
    </w:p>
    <w:p w:rsidR="00000000" w:rsidRPr="00E831D0" w:rsidP="00E831D0">
      <w:pPr>
        <w:pStyle w:val="Heading1"/>
      </w:pPr>
      <w:bookmarkStart w:id="5" w:name="O_1015049"/>
      <w:bookmarkEnd w:id="5"/>
      <w:r w:rsidRPr="00E831D0">
        <w:t>Links</w:t>
      </w:r>
    </w:p>
    <w:p w:rsidR="00000000" w:rsidRPr="00E831D0" w:rsidP="000001EE">
      <w:pPr>
        <w:pStyle w:val="BodyText"/>
      </w:pPr>
      <w:r w:rsidRPr="00E831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A210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831D0" w:rsidP="00E831D0"/>
    <w:sectPr w:rsidSect="00E83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D0" w:rsidRPr="000001EE" w:rsidP="00000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EE" w:rsidP="00E83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1EE" w:rsidP="00E83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01EE" w:rsidP="00E83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1D0" w:rsidRPr="000001EE" w:rsidP="00000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EE" w:rsidRPr="002D2AF8" w:rsidP="00E83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MSFKB4009 Determine spatial planning considerations for kitchen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001EE" w:rsidP="00E83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4F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0E6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6D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1D0"/>
  </w:style>
  <w:style w:type="character" w:customStyle="1" w:styleId="Heading1Char">
    <w:name w:val="Heading 1 Char"/>
    <w:basedOn w:val="DefaultParagraphFont"/>
    <w:link w:val="Heading1"/>
    <w:rsid w:val="00E83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1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31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3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31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3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1D0"/>
    <w:rPr>
      <w:b/>
      <w:spacing w:val="0"/>
    </w:rPr>
  </w:style>
  <w:style w:type="paragraph" w:customStyle="1" w:styleId="SuperTitle">
    <w:name w:val="SuperTitle"/>
    <w:basedOn w:val="Title"/>
    <w:rsid w:val="00E83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1D0"/>
    <w:rPr>
      <w:i/>
    </w:rPr>
  </w:style>
  <w:style w:type="paragraph" w:styleId="Caption">
    <w:name w:val="caption"/>
    <w:basedOn w:val="BodyText"/>
    <w:next w:val="Normal"/>
    <w:qFormat/>
    <w:rsid w:val="00E83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1D0"/>
  </w:style>
  <w:style w:type="paragraph" w:styleId="TableofFigures">
    <w:name w:val="table of figures"/>
    <w:basedOn w:val="Normal"/>
    <w:next w:val="Normal"/>
    <w:semiHidden/>
    <w:rsid w:val="00E83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1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31D0"/>
    <w:rPr>
      <w:rFonts w:ascii="Wingdings" w:hAnsi="Wingdings"/>
    </w:rPr>
  </w:style>
  <w:style w:type="paragraph" w:customStyle="1" w:styleId="TableHeading">
    <w:name w:val="Table Heading"/>
    <w:basedOn w:val="HeadingBase"/>
    <w:rsid w:val="00E83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1D0"/>
    <w:rPr>
      <w:color w:val="0033CC"/>
      <w:u w:val="none"/>
    </w:rPr>
  </w:style>
  <w:style w:type="paragraph" w:customStyle="1" w:styleId="BodyTextRight">
    <w:name w:val="Body Text Right"/>
    <w:basedOn w:val="BodyText"/>
    <w:rsid w:val="00E83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1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1D0"/>
    <w:rPr>
      <w:sz w:val="32"/>
    </w:rPr>
  </w:style>
  <w:style w:type="paragraph" w:customStyle="1" w:styleId="HeadingProcedure">
    <w:name w:val="Heading Procedure"/>
    <w:basedOn w:val="HeadingBase"/>
    <w:next w:val="Normal"/>
    <w:rsid w:val="00E83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1D0"/>
    <w:pPr>
      <w:spacing w:before="60" w:after="60"/>
    </w:pPr>
  </w:style>
  <w:style w:type="paragraph" w:styleId="ListContinue">
    <w:name w:val="List Continue"/>
    <w:basedOn w:val="List"/>
    <w:rsid w:val="00E831D0"/>
    <w:pPr>
      <w:ind w:firstLine="0"/>
    </w:pPr>
  </w:style>
  <w:style w:type="paragraph" w:customStyle="1" w:styleId="ListNote">
    <w:name w:val="List Note"/>
    <w:basedOn w:val="List"/>
    <w:rsid w:val="00E83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1D0"/>
    <w:rPr>
      <w:rFonts w:ascii="Courier New" w:hAnsi="Courier New"/>
    </w:rPr>
  </w:style>
  <w:style w:type="paragraph" w:customStyle="1" w:styleId="NoteBullet">
    <w:name w:val="Note Bullet"/>
    <w:basedOn w:val="Note"/>
    <w:rsid w:val="00E83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1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3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1D0"/>
    <w:rPr>
      <w:b/>
      <w:smallCaps/>
    </w:rPr>
  </w:style>
  <w:style w:type="paragraph" w:customStyle="1" w:styleId="TableListNumber">
    <w:name w:val="Table List Number"/>
    <w:basedOn w:val="ListNumber"/>
    <w:rsid w:val="00E83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1D0"/>
    <w:pPr>
      <w:numPr>
        <w:numId w:val="10"/>
      </w:numPr>
    </w:pPr>
  </w:style>
  <w:style w:type="paragraph" w:customStyle="1" w:styleId="ListAlpha2">
    <w:name w:val="List Alpha 2"/>
    <w:basedOn w:val="List2"/>
    <w:rsid w:val="00E831D0"/>
    <w:pPr>
      <w:numPr>
        <w:numId w:val="9"/>
      </w:numPr>
    </w:pPr>
  </w:style>
  <w:style w:type="paragraph" w:styleId="List2">
    <w:name w:val="List 2"/>
    <w:basedOn w:val="BodyText"/>
    <w:rsid w:val="00E83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1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31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31D0"/>
    <w:pPr>
      <w:numPr>
        <w:numId w:val="5"/>
      </w:numPr>
    </w:pPr>
  </w:style>
  <w:style w:type="paragraph" w:styleId="ListContinue2">
    <w:name w:val="List Continue 2"/>
    <w:basedOn w:val="List2"/>
    <w:rsid w:val="00E831D0"/>
    <w:pPr>
      <w:ind w:firstLine="0"/>
    </w:pPr>
  </w:style>
  <w:style w:type="paragraph" w:styleId="ListContinue3">
    <w:name w:val="List Continue 3"/>
    <w:basedOn w:val="List3"/>
    <w:rsid w:val="00E831D0"/>
    <w:pPr>
      <w:ind w:left="1021" w:firstLine="0"/>
    </w:pPr>
  </w:style>
  <w:style w:type="paragraph" w:styleId="ListContinue4">
    <w:name w:val="List Continue 4"/>
    <w:basedOn w:val="List4"/>
    <w:rsid w:val="00E831D0"/>
    <w:pPr>
      <w:ind w:firstLine="0"/>
    </w:pPr>
  </w:style>
  <w:style w:type="paragraph" w:styleId="ListContinue5">
    <w:name w:val="List Continue 5"/>
    <w:basedOn w:val="List5"/>
    <w:rsid w:val="00E831D0"/>
    <w:pPr>
      <w:ind w:firstLine="0"/>
    </w:pPr>
  </w:style>
  <w:style w:type="paragraph" w:styleId="ListNumber3">
    <w:name w:val="List Number 3"/>
    <w:basedOn w:val="List3"/>
    <w:rsid w:val="00E831D0"/>
    <w:pPr>
      <w:numPr>
        <w:numId w:val="6"/>
      </w:numPr>
    </w:pPr>
  </w:style>
  <w:style w:type="paragraph" w:styleId="ListNumber4">
    <w:name w:val="List Number 4"/>
    <w:basedOn w:val="List4"/>
    <w:rsid w:val="00E831D0"/>
    <w:pPr>
      <w:numPr>
        <w:numId w:val="7"/>
      </w:numPr>
    </w:pPr>
  </w:style>
  <w:style w:type="paragraph" w:styleId="ListNumber5">
    <w:name w:val="List Number 5"/>
    <w:basedOn w:val="List5"/>
    <w:rsid w:val="00E831D0"/>
    <w:pPr>
      <w:numPr>
        <w:numId w:val="8"/>
      </w:numPr>
    </w:pPr>
  </w:style>
  <w:style w:type="paragraph" w:styleId="BlockText">
    <w:name w:val="Block Text"/>
    <w:basedOn w:val="Normal"/>
    <w:rsid w:val="00E83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1D0"/>
    <w:rPr>
      <w:sz w:val="16"/>
      <w:vertAlign w:val="superscript"/>
    </w:rPr>
  </w:style>
  <w:style w:type="character" w:customStyle="1" w:styleId="Symbols">
    <w:name w:val="Symbols"/>
    <w:basedOn w:val="DefaultParagraphFont"/>
    <w:rsid w:val="00E831D0"/>
    <w:rPr>
      <w:rFonts w:ascii="Symbol" w:hAnsi="Symbol"/>
    </w:rPr>
  </w:style>
  <w:style w:type="character" w:customStyle="1" w:styleId="MenuOptions">
    <w:name w:val="Menu Options"/>
    <w:basedOn w:val="DefaultParagraphFont"/>
    <w:rsid w:val="00E83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1D0"/>
    <w:rPr>
      <w:b/>
    </w:rPr>
  </w:style>
  <w:style w:type="character" w:customStyle="1" w:styleId="Underlined">
    <w:name w:val="Underlined"/>
    <w:basedOn w:val="DefaultParagraphFont"/>
    <w:rsid w:val="00E831D0"/>
    <w:rPr>
      <w:u w:val="single"/>
    </w:rPr>
  </w:style>
  <w:style w:type="paragraph" w:customStyle="1" w:styleId="TableBodyTextRight">
    <w:name w:val="Table Body Text Right"/>
    <w:basedOn w:val="TableBodyText"/>
    <w:rsid w:val="00E83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1D0"/>
    <w:rPr>
      <w:sz w:val="18"/>
    </w:rPr>
  </w:style>
  <w:style w:type="paragraph" w:customStyle="1" w:styleId="BodySmallRight">
    <w:name w:val="Body Small Right"/>
    <w:basedOn w:val="BodyTextRight"/>
    <w:rsid w:val="00E831D0"/>
    <w:rPr>
      <w:sz w:val="18"/>
      <w:szCs w:val="18"/>
    </w:rPr>
  </w:style>
  <w:style w:type="paragraph" w:customStyle="1" w:styleId="MarginEdition">
    <w:name w:val="Margin Edition"/>
    <w:basedOn w:val="MarginNote"/>
    <w:rsid w:val="00E83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1D0"/>
    <w:rPr>
      <w:sz w:val="2"/>
      <w:szCs w:val="2"/>
    </w:rPr>
  </w:style>
  <w:style w:type="character" w:customStyle="1" w:styleId="Small">
    <w:name w:val="Small"/>
    <w:basedOn w:val="DefaultParagraphFont"/>
    <w:rsid w:val="00E831D0"/>
    <w:rPr>
      <w:sz w:val="16"/>
    </w:rPr>
  </w:style>
  <w:style w:type="paragraph" w:customStyle="1" w:styleId="WideTable">
    <w:name w:val="Wide Table"/>
    <w:basedOn w:val="Normal"/>
    <w:rsid w:val="00E83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1D0"/>
  </w:style>
  <w:style w:type="paragraph" w:styleId="Quote">
    <w:name w:val="Quote"/>
    <w:basedOn w:val="Heading1"/>
    <w:link w:val="QuoteChar"/>
    <w:qFormat/>
    <w:rsid w:val="00E83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1D0"/>
    <w:pPr>
      <w:pageBreakBefore/>
    </w:pPr>
  </w:style>
  <w:style w:type="paragraph" w:customStyle="1" w:styleId="Border">
    <w:name w:val="Border"/>
    <w:basedOn w:val="Normal"/>
    <w:qFormat/>
    <w:rsid w:val="00E83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1D0"/>
    <w:rPr>
      <w:u w:val="single"/>
    </w:rPr>
  </w:style>
  <w:style w:type="character" w:customStyle="1" w:styleId="BoldandItalics">
    <w:name w:val="Bold and Italics"/>
    <w:qFormat/>
    <w:rsid w:val="00E831D0"/>
    <w:rPr>
      <w:b/>
      <w:i/>
      <w:u w:val="none"/>
    </w:rPr>
  </w:style>
  <w:style w:type="paragraph" w:styleId="BalloonText">
    <w:name w:val="Balloon Text"/>
    <w:basedOn w:val="Normal"/>
    <w:link w:val="BalloonTextChar"/>
    <w:rsid w:val="00E83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1D0"/>
    <w:pPr>
      <w:spacing w:before="0" w:after="0"/>
    </w:pPr>
  </w:style>
  <w:style w:type="paragraph" w:customStyle="1" w:styleId="BodyTextBold">
    <w:name w:val="Body Text Bold"/>
    <w:basedOn w:val="BodyText"/>
    <w:qFormat/>
    <w:rsid w:val="00E831D0"/>
    <w:rPr>
      <w:b/>
    </w:rPr>
  </w:style>
  <w:style w:type="character" w:styleId="Hyperlink">
    <w:name w:val="Hyperlink"/>
    <w:basedOn w:val="DefaultParagraphFont"/>
    <w:uiPriority w:val="99"/>
    <w:unhideWhenUsed/>
    <w:rsid w:val="00000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2739</Characters>
  <Application>Microsoft Office Word</Application>
  <DocSecurity>0</DocSecurity>
  <Lines>91</Lines>
  <Paragraphs>80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MSFKB4009 Determine spatial planning considerations for kitchen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