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2A8" w:rsidP="00B662A8">
      <w:pPr>
        <w:pStyle w:val="Title"/>
      </w:pPr>
      <w:r>
        <w:fldChar w:fldCharType="begin"/>
      </w:r>
      <w:r>
        <w:instrText xml:space="preserve"> TITLE   \* MERGEFORMAT </w:instrText>
      </w:r>
      <w:r>
        <w:fldChar w:fldCharType="separate"/>
      </w:r>
      <w:r>
        <w:t>MSFKB4001 Determine spatial planning considerations for kitchen design</w:t>
      </w:r>
      <w:r>
        <w:fldChar w:fldCharType="end"/>
      </w:r>
    </w:p>
    <w:p w:rsidR="00B662A8" w:rsidP="00B662A8">
      <w:pPr>
        <w:pStyle w:val="Version"/>
        <w:sectPr w:rsidSect="00AE59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99B" w:rsidP="00AE599B">
      <w:pPr>
        <w:pStyle w:val="SuperHeading"/>
      </w:pPr>
      <w:r w:rsidRPr="00AE599B">
        <w:t>MSFKB4001 Determine spatial planning considerations for kitchen design</w:t>
      </w:r>
    </w:p>
    <w:p w:rsidR="00000000" w:rsidRPr="00AE599B" w:rsidP="00AE599B">
      <w:pPr>
        <w:pStyle w:val="Heading1"/>
      </w:pPr>
      <w:bookmarkStart w:id="1" w:name="O_627179"/>
      <w:bookmarkEnd w:id="1"/>
      <w:r w:rsidRPr="00AE599B">
        <w:t>Modification History</w:t>
      </w:r>
    </w:p>
    <w:p w:rsidR="00000000" w:rsidRPr="00AE599B" w:rsidP="00AE599B">
      <w:pPr>
        <w:pStyle w:val="BodyText"/>
      </w:pPr>
      <w:r w:rsidRPr="00AE599B">
        <w:t>Release 1 - New unit of competency</w:t>
      </w:r>
    </w:p>
    <w:p w:rsidR="00000000" w:rsidRPr="00AE599B" w:rsidP="00AE599B">
      <w:pPr>
        <w:pStyle w:val="AllowPageBreak"/>
      </w:pPr>
    </w:p>
    <w:p w:rsidR="00000000" w:rsidRPr="00AE599B" w:rsidP="00AE599B">
      <w:pPr>
        <w:pStyle w:val="Heading1"/>
      </w:pPr>
      <w:bookmarkStart w:id="2" w:name="O_627187"/>
      <w:bookmarkEnd w:id="2"/>
      <w:r w:rsidRPr="00AE599B">
        <w:t>Application</w:t>
      </w:r>
    </w:p>
    <w:p w:rsidR="00000000" w:rsidRPr="00AE599B" w:rsidP="00AE599B">
      <w:pPr>
        <w:pStyle w:val="BodyText"/>
      </w:pPr>
      <w:r w:rsidRPr="00AE599B">
        <w:t xml:space="preserve">This unit </w:t>
      </w:r>
      <w:r w:rsidRPr="00AE599B">
        <w:t xml:space="preserve">of competency covers examining space requirements and usage patterns for kitchens and determining planning considerations for designs. </w:t>
      </w:r>
    </w:p>
    <w:p w:rsidR="00000000" w:rsidRPr="00AE599B" w:rsidP="00AE599B">
      <w:pPr>
        <w:pStyle w:val="BodyText"/>
      </w:pPr>
    </w:p>
    <w:p w:rsidR="00000000" w:rsidRPr="00AE599B" w:rsidP="00AE599B">
      <w:pPr>
        <w:pStyle w:val="BodyText"/>
      </w:pPr>
      <w:r w:rsidRPr="00AE599B">
        <w:t>Licensing, legislative or certification requirements may apply to this unit and relevant state/territory and local gove</w:t>
      </w:r>
      <w:r w:rsidRPr="00AE599B">
        <w:t xml:space="preserve">rnment agencies should be consulted to determine any necessary certification or licensing for undertaking kitchen and bathroom work. Access to construction sites requires certification of general induction training specified by the </w:t>
      </w:r>
      <w:r w:rsidRPr="00AE599B">
        <w:rPr>
          <w:rStyle w:val="Emphasis"/>
        </w:rPr>
        <w:t>National Code of Practic</w:t>
      </w:r>
      <w:r w:rsidRPr="00AE599B">
        <w:rPr>
          <w:rStyle w:val="Emphasis"/>
        </w:rPr>
        <w:t>e for Induction for Construction Work</w:t>
      </w:r>
      <w:r w:rsidRPr="00AE599B">
        <w:t xml:space="preserve"> (ASCC 2007).</w:t>
      </w:r>
    </w:p>
    <w:p w:rsidR="00000000" w:rsidRPr="00AE599B" w:rsidP="00AE599B">
      <w:pPr>
        <w:pStyle w:val="AllowPageBreak"/>
      </w:pPr>
    </w:p>
    <w:p w:rsidR="00000000" w:rsidRPr="00AE599B" w:rsidP="00AE599B">
      <w:pPr>
        <w:pStyle w:val="Heading1"/>
      </w:pPr>
      <w:bookmarkStart w:id="3" w:name="O_627186"/>
      <w:bookmarkEnd w:id="3"/>
      <w:r w:rsidRPr="00AE599B">
        <w:t>Pre-requisite Unit</w:t>
      </w:r>
    </w:p>
    <w:p w:rsidR="00000000" w:rsidRPr="00AE599B" w:rsidP="00AE599B">
      <w:pPr>
        <w:pStyle w:val="Heading1"/>
      </w:pPr>
      <w:bookmarkStart w:id="4" w:name="O_627185"/>
      <w:bookmarkEnd w:id="4"/>
      <w:r w:rsidRPr="00AE599B">
        <w:t>Competency Field</w:t>
      </w:r>
    </w:p>
    <w:p w:rsidR="00000000" w:rsidRPr="00AE599B" w:rsidP="00AE599B">
      <w:pPr>
        <w:pStyle w:val="Heading1"/>
      </w:pPr>
      <w:bookmarkStart w:id="5" w:name="O_627184"/>
      <w:bookmarkEnd w:id="5"/>
      <w:r w:rsidRPr="00AE599B">
        <w:t>Unit Sector</w:t>
      </w:r>
    </w:p>
    <w:p w:rsidR="00000000" w:rsidRPr="00AE599B" w:rsidP="00AE599B">
      <w:pPr>
        <w:pStyle w:val="BodyText"/>
      </w:pPr>
      <w:r w:rsidRPr="00AE599B">
        <w:t>Kitchens and Bathrooms</w:t>
      </w:r>
    </w:p>
    <w:p w:rsidR="00000000" w:rsidRPr="00AE599B" w:rsidP="00AE599B">
      <w:pPr>
        <w:pStyle w:val="AllowPageBreak"/>
      </w:pPr>
    </w:p>
    <w:p w:rsidR="00000000" w:rsidRPr="00AE599B" w:rsidP="00AE599B">
      <w:pPr>
        <w:pStyle w:val="Heading1"/>
      </w:pPr>
      <w:bookmarkStart w:id="6" w:name="O_627183"/>
      <w:bookmarkEnd w:id="6"/>
      <w:r w:rsidRPr="00AE599B">
        <w:t>Elements and Performance Criteria</w:t>
      </w:r>
    </w:p>
    <w:tbl>
      <w:tblPr>
        <w:tblW w:w="9286" w:type="dxa"/>
        <w:tblLayout w:type="fixed"/>
        <w:tblCellMar>
          <w:left w:w="62" w:type="dxa"/>
          <w:right w:w="62" w:type="dxa"/>
        </w:tblCellMar>
        <w:tblLook w:val="0000"/>
      </w:tblPr>
      <w:tblGrid>
        <w:gridCol w:w="524"/>
        <w:gridCol w:w="2235"/>
        <w:gridCol w:w="661"/>
        <w:gridCol w:w="5866"/>
      </w:tblGrid>
      <w:tr w:rsidTr="00AE599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Elements describe the essential ou</w:t>
            </w:r>
            <w:r w:rsidRPr="00AE599B">
              <w:t>tcomes.</w:t>
            </w:r>
          </w:p>
        </w:tc>
        <w:tc>
          <w:tcPr>
            <w:tcW w:w="6527" w:type="dxa"/>
            <w:gridSpan w:val="2"/>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Performance criteria describe the performance needed to demonstrate achievement of the element.</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1</w:t>
            </w:r>
          </w:p>
        </w:tc>
        <w:tc>
          <w:tcPr>
            <w:tcW w:w="2235" w:type="dxa"/>
            <w:vMerge w:val="restart"/>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Determine kitchen work and traffic flow patterns</w:t>
            </w: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1.1</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Key work zones for kitchens are identified and prime activities and associated appliances determined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1.2</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Traffic flow patterns and considerations for kitchen space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1.3</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 xml:space="preserve">Work triangle concepts are identified and applied to modern kitchen design </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2</w:t>
            </w:r>
          </w:p>
        </w:tc>
        <w:tc>
          <w:tcPr>
            <w:tcW w:w="2235"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Examine layout options</w:t>
            </w: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2.1</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Location of services is identified and implications for relocation determined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2.2</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 xml:space="preserve">Range of layout options and work and traffic flow </w:t>
            </w:r>
            <w:r w:rsidRPr="00AE599B">
              <w:t>implications ar</w:t>
            </w:r>
            <w:r w:rsidRPr="00AE599B">
              <w:t>e examined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2.3</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Suitability of layout options for kitchen space are analysed and limitations and benefits determined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3</w:t>
            </w:r>
          </w:p>
        </w:tc>
        <w:tc>
          <w:tcPr>
            <w:tcW w:w="2235"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Determine storage options</w:t>
            </w: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3.1</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Storage requirements of kitchen work zones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3.2</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 xml:space="preserve">Storage options are examined for suitability to kitchen spaces and implications for design determined </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3.3</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 xml:space="preserve">Dimensions and space requirements of standard storage options are identified for design </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4</w:t>
            </w:r>
          </w:p>
        </w:tc>
        <w:tc>
          <w:tcPr>
            <w:tcW w:w="2235" w:type="dxa"/>
            <w:vMerge w:val="restart"/>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Assess kitchen ergonomic considerations</w:t>
            </w: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4.1</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 xml:space="preserve">Basic principles of ergonomics are used to determine space planning implications </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4.2</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Requirements for working height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4.3</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Manual handling considerations for kitchen design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4.4</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Storage principles are considered to determine implications for design</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4.5</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Special considerations for children, older people and/or disabled people are taken into account, where applicable</w:t>
            </w:r>
          </w:p>
        </w:tc>
      </w:tr>
      <w:tr w:rsidTr="00AE599B">
        <w:tblPrEx>
          <w:tblW w:w="9286" w:type="dxa"/>
          <w:tblLayout w:type="fixed"/>
          <w:tblCellMar>
            <w:left w:w="62" w:type="dxa"/>
            <w:right w:w="62" w:type="dxa"/>
          </w:tblCellMar>
          <w:tblLook w:val="0000"/>
        </w:tblPrEx>
        <w:trPr>
          <w:trHeight w:val="80"/>
        </w:trPr>
        <w:tc>
          <w:tcPr>
            <w:tcW w:w="524"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5</w:t>
            </w:r>
          </w:p>
        </w:tc>
        <w:tc>
          <w:tcPr>
            <w:tcW w:w="2235"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Examine requirements for kitchen appliances</w:t>
            </w: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5.1</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Key appliance</w:t>
            </w:r>
            <w:r w:rsidRPr="00AE599B">
              <w:t>s used in kitchens are identified and standard dimensions, clearances and required services determined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5.2</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 xml:space="preserve">Manufacturer guidelines and statutory regulations regarding the placement and installation of appliances are identified and implications for </w:t>
            </w:r>
            <w:r w:rsidRPr="00AE599B">
              <w:t>design examined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5.3</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Work space implications for appliances are analysed and implications for design determined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6</w:t>
            </w:r>
          </w:p>
        </w:tc>
        <w:tc>
          <w:tcPr>
            <w:tcW w:w="2235" w:type="dxa"/>
            <w:vMerge w:val="restart"/>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Determine planning considerations for services</w:t>
            </w: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6.1</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Regulations regarding the location of power outlets, lighting and electrical work undert</w:t>
            </w:r>
            <w:r w:rsidRPr="00AE599B">
              <w:t>aken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6.2</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Regulations regarding the location of plumbing outlets and plumbing work undertaken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6.3</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Regulations regarding the location of gas outlets and gas plumbing work undertaken are identified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6.4</w:t>
            </w:r>
          </w:p>
        </w:tc>
        <w:tc>
          <w:tcPr>
            <w:tcW w:w="5866"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Implications of service requirements on kitchen design are determined</w:t>
            </w:r>
          </w:p>
        </w:tc>
      </w:tr>
      <w:tr w:rsidTr="00AE599B">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6.5</w:t>
            </w:r>
          </w:p>
        </w:tc>
        <w:tc>
          <w:tcPr>
            <w:tcW w:w="5866" w:type="dxa"/>
            <w:tcBorders>
              <w:top w:val="nil"/>
              <w:left w:val="nil"/>
              <w:bottom w:val="nil"/>
              <w:right w:val="nil"/>
            </w:tcBorders>
            <w:tcMar>
              <w:top w:w="0" w:type="dxa"/>
              <w:left w:w="62" w:type="dxa"/>
              <w:bottom w:w="0" w:type="dxa"/>
              <w:right w:w="62" w:type="dxa"/>
            </w:tcMar>
          </w:tcPr>
          <w:p w:rsidR="00000000" w:rsidRPr="00AE599B" w:rsidP="00AE599B">
            <w:pPr>
              <w:pStyle w:val="BodyText"/>
            </w:pPr>
            <w:r w:rsidRPr="00AE599B">
              <w:t>Lighting sources are examined and requirements for kitchen design determined</w:t>
            </w:r>
          </w:p>
        </w:tc>
      </w:tr>
    </w:tbl>
    <w:p w:rsidR="00000000" w:rsidRPr="00AE599B" w:rsidP="00AE599B">
      <w:pPr>
        <w:pStyle w:val="BodyText"/>
      </w:pPr>
    </w:p>
    <w:p w:rsidR="00000000" w:rsidRPr="00AE599B" w:rsidP="00AE599B">
      <w:pPr>
        <w:pStyle w:val="AllowPageBreak"/>
      </w:pPr>
    </w:p>
    <w:p w:rsidR="00000000" w:rsidRPr="00AE599B" w:rsidP="00AE599B">
      <w:pPr>
        <w:pStyle w:val="Heading1"/>
      </w:pPr>
      <w:bookmarkStart w:id="7" w:name="O_627182"/>
      <w:bookmarkEnd w:id="7"/>
      <w:r w:rsidRPr="00AE599B">
        <w:t>Foundation Skills</w:t>
      </w:r>
    </w:p>
    <w:p w:rsidR="00000000" w:rsidRPr="00AE599B" w:rsidP="00AE599B">
      <w:pPr>
        <w:pStyle w:val="BodyText"/>
      </w:pPr>
      <w:r w:rsidRPr="00AE599B">
        <w:t>Foundation skills essential to performance are explicit in the performance criteria of this unit of competency. Detail on appropriate performance levels for each furnishing unit of competency in reading, writing, oral communication and numeracy utilising t</w:t>
      </w:r>
      <w:r w:rsidRPr="00AE599B">
        <w:t>he Australian Core Skills Framework (ACSF) are provided in the Furnishing Training Package Implementation Guide.</w:t>
      </w:r>
    </w:p>
    <w:p w:rsidR="00000000" w:rsidRPr="00AE599B" w:rsidP="00AE599B">
      <w:pPr>
        <w:pStyle w:val="AllowPageBreak"/>
      </w:pPr>
    </w:p>
    <w:p w:rsidR="00000000" w:rsidRPr="00AE599B" w:rsidP="00AE599B">
      <w:pPr>
        <w:pStyle w:val="Heading1"/>
      </w:pPr>
      <w:bookmarkStart w:id="8" w:name="O_627181"/>
      <w:bookmarkEnd w:id="8"/>
      <w:r w:rsidRPr="00AE599B">
        <w:t>Range of Conditions</w:t>
      </w:r>
    </w:p>
    <w:tbl>
      <w:tblPr>
        <w:tblW w:w="0" w:type="auto"/>
        <w:tblLayout w:type="fixed"/>
        <w:tblCellMar>
          <w:left w:w="62" w:type="dxa"/>
          <w:right w:w="62" w:type="dxa"/>
        </w:tblCellMar>
        <w:tblLook w:val="0000"/>
      </w:tblPr>
      <w:tblGrid>
        <w:gridCol w:w="2760"/>
        <w:gridCol w:w="6312"/>
      </w:tblGrid>
      <w:tr w:rsidTr="00AE59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t>Specifies different work environments and conditions that may affect performance. Essential operating cond</w:t>
            </w:r>
            <w:r w:rsidRPr="00AE599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E599B">
              <w:t>to the work environment.</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 xml:space="preserve">Work health and safety (WHS) requirements, including legislation, building codes, material safety management systems, hazardous and dangerous goods codes, and local safe operating procedures or equivalent </w:t>
            </w:r>
          </w:p>
          <w:p w:rsidR="00000000" w:rsidRPr="00AE599B" w:rsidP="00AE599B">
            <w:pPr>
              <w:pStyle w:val="ListBullet"/>
            </w:pPr>
            <w:r w:rsidRPr="00AE599B">
              <w:t xml:space="preserve">work is carried out in accordance with legislative obligations, environmental legislation, relevant health regulations, manual handling procedures and organisation insurance requirements </w:t>
            </w:r>
          </w:p>
          <w:p w:rsidR="00000000" w:rsidP="00AE599B">
            <w:pPr>
              <w:pStyle w:val="ListBullet"/>
              <w:rPr>
                <w:lang w:val="en-NZ"/>
              </w:rPr>
            </w:pPr>
            <w:r w:rsidRPr="00AE599B">
              <w:t>work requires individual to demonstrate some discretion, judgement and problem solving in the analysis of design requirements. It includes analysis of appliances, services, regulatory requirements, storage requirements and applications to determine implica</w:t>
            </w:r>
            <w:r w:rsidRPr="00AE599B">
              <w:t>tions for kitchen design</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Key work zones for kitchens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food storage zone</w:t>
            </w:r>
          </w:p>
          <w:p w:rsidR="00000000" w:rsidRPr="00AE599B" w:rsidP="00AE599B">
            <w:pPr>
              <w:pStyle w:val="ListBullet"/>
            </w:pPr>
            <w:r w:rsidRPr="00AE599B">
              <w:t>food preparation zone</w:t>
            </w:r>
          </w:p>
          <w:p w:rsidR="00000000" w:rsidRPr="00AE599B" w:rsidP="00AE599B">
            <w:pPr>
              <w:pStyle w:val="ListBullet"/>
            </w:pPr>
            <w:r w:rsidRPr="00AE599B">
              <w:t>clean-up zone</w:t>
            </w:r>
          </w:p>
          <w:p w:rsidR="00000000" w:rsidRPr="00AE599B" w:rsidP="00AE599B">
            <w:pPr>
              <w:pStyle w:val="ListBullet"/>
            </w:pPr>
            <w:r w:rsidRPr="00AE599B">
              <w:t>bench top clearances</w:t>
            </w:r>
          </w:p>
          <w:p w:rsidR="00000000" w:rsidP="00AE599B">
            <w:pPr>
              <w:pStyle w:val="ListBullet"/>
              <w:rPr>
                <w:lang w:val="en-NZ"/>
              </w:rPr>
            </w:pPr>
            <w:r w:rsidRPr="00AE599B">
              <w:t>landing space</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Considerations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floor clearances</w:t>
            </w:r>
          </w:p>
          <w:p w:rsidR="00000000" w:rsidRPr="00AE599B" w:rsidP="00AE599B">
            <w:pPr>
              <w:pStyle w:val="ListBullet"/>
            </w:pPr>
            <w:r w:rsidRPr="00AE599B">
              <w:t>traffic clearances</w:t>
            </w:r>
          </w:p>
          <w:p w:rsidR="00000000" w:rsidRPr="00AE599B" w:rsidP="00AE599B">
            <w:pPr>
              <w:pStyle w:val="ListBullet"/>
            </w:pPr>
            <w:r w:rsidRPr="00AE599B">
              <w:t xml:space="preserve">space requirements for reaching, </w:t>
            </w:r>
            <w:r w:rsidRPr="00AE599B">
              <w:t>bending and crouching</w:t>
            </w:r>
          </w:p>
          <w:p w:rsidR="00000000" w:rsidRPr="00AE599B" w:rsidP="00AE599B">
            <w:pPr>
              <w:pStyle w:val="ListBullet"/>
            </w:pPr>
            <w:r w:rsidRPr="00AE599B">
              <w:t>eating space requirements</w:t>
            </w:r>
          </w:p>
          <w:p w:rsidR="00000000" w:rsidRPr="00AE599B" w:rsidP="00AE599B">
            <w:pPr>
              <w:pStyle w:val="ListBullet"/>
            </w:pPr>
            <w:r w:rsidRPr="00AE599B">
              <w:t>additional space requirements for areas such as computers, entertaining and laundry</w:t>
            </w:r>
          </w:p>
          <w:p w:rsidR="00000000" w:rsidP="00AE599B">
            <w:pPr>
              <w:pStyle w:val="ListBullet"/>
              <w:rPr>
                <w:lang w:val="en-NZ"/>
              </w:rPr>
            </w:pPr>
            <w:r w:rsidRPr="00AE599B">
              <w:t>number and types of users of kitchen</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Range of layout options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single wall set out</w:t>
            </w:r>
          </w:p>
          <w:p w:rsidR="00000000" w:rsidRPr="00AE599B" w:rsidP="00AE599B">
            <w:pPr>
              <w:pStyle w:val="ListBullet"/>
            </w:pPr>
            <w:r w:rsidRPr="00AE599B">
              <w:t>galley</w:t>
            </w:r>
          </w:p>
          <w:p w:rsidR="00000000" w:rsidRPr="00AE599B" w:rsidP="00AE599B">
            <w:pPr>
              <w:pStyle w:val="ListBullet"/>
            </w:pPr>
            <w:r w:rsidRPr="00AE599B">
              <w:t>L-shape</w:t>
            </w:r>
          </w:p>
          <w:p w:rsidR="00000000" w:rsidRPr="00AE599B" w:rsidP="00AE599B">
            <w:pPr>
              <w:pStyle w:val="ListBullet"/>
            </w:pPr>
            <w:r w:rsidRPr="00AE599B">
              <w:t>U-shape</w:t>
            </w:r>
          </w:p>
          <w:p w:rsidR="00000000" w:rsidP="00AE599B">
            <w:pPr>
              <w:pStyle w:val="ListBullet"/>
              <w:rPr>
                <w:lang w:val="en-NZ"/>
              </w:rPr>
            </w:pPr>
            <w:r w:rsidRPr="00AE599B">
              <w:t>island</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Storage requirements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food storage (perishable and non-perishable)</w:t>
            </w:r>
          </w:p>
          <w:p w:rsidR="00000000" w:rsidRPr="00AE599B" w:rsidP="00AE599B">
            <w:pPr>
              <w:pStyle w:val="ListBullet"/>
            </w:pPr>
            <w:r w:rsidRPr="00AE599B">
              <w:t>food preparation (utensils, appliances, cookware, condiments, ovenware and cookbooks)</w:t>
            </w:r>
          </w:p>
          <w:p w:rsidR="00000000" w:rsidRPr="00AE599B" w:rsidP="00AE599B">
            <w:pPr>
              <w:pStyle w:val="ListBullet"/>
            </w:pPr>
            <w:r w:rsidRPr="00AE599B">
              <w:t>clean-up (garbage bin, storage containers, cleaning items and products)</w:t>
            </w:r>
          </w:p>
          <w:p w:rsidR="00000000" w:rsidP="00AE599B">
            <w:pPr>
              <w:pStyle w:val="ListBullet"/>
              <w:rPr>
                <w:lang w:val="en-NZ"/>
              </w:rPr>
            </w:pPr>
            <w:r w:rsidRPr="00AE599B">
              <w:t>additional</w:t>
            </w:r>
            <w:r w:rsidRPr="00AE599B">
              <w:t xml:space="preserve"> storage (crockery, glassware, serving platters and small appliances)</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Storage options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cupboards and drawers</w:t>
            </w:r>
          </w:p>
          <w:p w:rsidR="00000000" w:rsidRPr="00AE599B" w:rsidP="00AE599B">
            <w:pPr>
              <w:pStyle w:val="ListBullet"/>
            </w:pPr>
            <w:r w:rsidRPr="00AE599B">
              <w:t>wire shelving</w:t>
            </w:r>
          </w:p>
          <w:p w:rsidR="00000000" w:rsidRPr="00AE599B" w:rsidP="00AE599B">
            <w:pPr>
              <w:pStyle w:val="ListBullet"/>
            </w:pPr>
            <w:r w:rsidRPr="00AE599B">
              <w:t>baskets</w:t>
            </w:r>
          </w:p>
          <w:p w:rsidR="00000000" w:rsidRPr="00AE599B" w:rsidP="00AE599B">
            <w:pPr>
              <w:pStyle w:val="ListBullet"/>
            </w:pPr>
            <w:r w:rsidRPr="00AE599B">
              <w:t>mobile storage unit</w:t>
            </w:r>
          </w:p>
          <w:p w:rsidR="00000000" w:rsidRPr="00AE599B" w:rsidP="00AE599B">
            <w:pPr>
              <w:pStyle w:val="ListBullet"/>
            </w:pPr>
            <w:r w:rsidRPr="00AE599B">
              <w:t>railing</w:t>
            </w:r>
          </w:p>
          <w:p w:rsidR="00000000" w:rsidRPr="00AE599B" w:rsidP="00AE599B">
            <w:pPr>
              <w:pStyle w:val="ListBullet"/>
            </w:pPr>
            <w:r w:rsidRPr="00AE599B">
              <w:t>shelves</w:t>
            </w:r>
          </w:p>
          <w:p w:rsidR="00000000" w:rsidRPr="00AE599B" w:rsidP="00AE599B">
            <w:pPr>
              <w:pStyle w:val="ListBullet"/>
            </w:pPr>
            <w:r w:rsidRPr="00AE599B">
              <w:t>pantry</w:t>
            </w:r>
          </w:p>
          <w:p w:rsidR="00000000" w:rsidRPr="00AE599B" w:rsidP="00AE599B">
            <w:pPr>
              <w:pStyle w:val="ListBullet"/>
            </w:pPr>
            <w:r w:rsidRPr="00AE599B">
              <w:t xml:space="preserve">swing out cupboards </w:t>
            </w:r>
          </w:p>
          <w:p w:rsidR="00000000" w:rsidRPr="00AE599B" w:rsidP="00AE599B">
            <w:pPr>
              <w:pStyle w:val="ListBullet"/>
            </w:pPr>
            <w:r w:rsidRPr="00AE599B">
              <w:t>extension worktops</w:t>
            </w:r>
          </w:p>
          <w:p w:rsidR="00000000" w:rsidRPr="00AE599B" w:rsidP="00AE599B">
            <w:pPr>
              <w:pStyle w:val="ListBullet"/>
            </w:pPr>
            <w:r w:rsidRPr="00AE599B">
              <w:t>base cupboards</w:t>
            </w:r>
          </w:p>
          <w:p w:rsidR="00000000" w:rsidP="00AE599B">
            <w:pPr>
              <w:pStyle w:val="ListBullet"/>
              <w:rPr>
                <w:lang w:val="en-NZ"/>
              </w:rPr>
            </w:pPr>
            <w:r w:rsidRPr="00AE599B">
              <w:t>overhead cupboards</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Basic principles of ergonomics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clearance (minimum spatial tolerances for access)</w:t>
            </w:r>
          </w:p>
          <w:p w:rsidR="00000000" w:rsidP="00AE599B">
            <w:pPr>
              <w:pStyle w:val="ListBullet"/>
              <w:rPr>
                <w:lang w:val="en-NZ"/>
              </w:rPr>
            </w:pPr>
            <w:r w:rsidRPr="00AE599B">
              <w:t>reach (maximum spatial tolerances and workspace envelope)</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Storage principles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importance of items</w:t>
            </w:r>
          </w:p>
          <w:p w:rsidR="00000000" w:rsidRPr="00AE599B" w:rsidP="00AE599B">
            <w:pPr>
              <w:pStyle w:val="ListBullet"/>
            </w:pPr>
            <w:r w:rsidRPr="00AE599B">
              <w:t>frequency of use</w:t>
            </w:r>
          </w:p>
          <w:p w:rsidR="00000000" w:rsidRPr="00AE599B" w:rsidP="00AE599B">
            <w:pPr>
              <w:pStyle w:val="ListBullet"/>
            </w:pPr>
            <w:r w:rsidRPr="00AE599B">
              <w:t>function</w:t>
            </w:r>
          </w:p>
          <w:p w:rsidR="00000000" w:rsidP="00AE599B">
            <w:pPr>
              <w:pStyle w:val="ListBullet"/>
              <w:rPr>
                <w:lang w:val="en-NZ"/>
              </w:rPr>
            </w:pPr>
            <w:r w:rsidRPr="00AE599B">
              <w:t>sequence of use</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Key appliances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cook top</w:t>
            </w:r>
          </w:p>
          <w:p w:rsidR="00000000" w:rsidRPr="00AE599B" w:rsidP="00AE599B">
            <w:pPr>
              <w:pStyle w:val="ListBullet"/>
            </w:pPr>
            <w:r w:rsidRPr="00AE599B">
              <w:t>oven</w:t>
            </w:r>
          </w:p>
          <w:p w:rsidR="00000000" w:rsidRPr="00AE599B" w:rsidP="00AE599B">
            <w:pPr>
              <w:pStyle w:val="ListBullet"/>
            </w:pPr>
            <w:r w:rsidRPr="00AE599B">
              <w:t>freestanding stove</w:t>
            </w:r>
          </w:p>
          <w:p w:rsidR="00000000" w:rsidRPr="00AE599B" w:rsidP="00AE599B">
            <w:pPr>
              <w:pStyle w:val="ListBullet"/>
            </w:pPr>
            <w:r w:rsidRPr="00AE599B">
              <w:t>microwave and convection oven</w:t>
            </w:r>
          </w:p>
          <w:p w:rsidR="00000000" w:rsidRPr="00AE599B" w:rsidP="00AE599B">
            <w:pPr>
              <w:pStyle w:val="ListBullet"/>
            </w:pPr>
            <w:r w:rsidRPr="00AE599B">
              <w:t>exhaust system</w:t>
            </w:r>
          </w:p>
          <w:p w:rsidR="00000000" w:rsidRPr="00AE599B" w:rsidP="00AE599B">
            <w:pPr>
              <w:pStyle w:val="ListBullet"/>
            </w:pPr>
            <w:r w:rsidRPr="00AE599B">
              <w:t>refrigerator</w:t>
            </w:r>
          </w:p>
          <w:p w:rsidR="00000000" w:rsidRPr="00AE599B" w:rsidP="00AE599B">
            <w:pPr>
              <w:pStyle w:val="ListBullet"/>
            </w:pPr>
            <w:r w:rsidRPr="00AE599B">
              <w:t>coffee machine</w:t>
            </w:r>
          </w:p>
          <w:p w:rsidR="00000000" w:rsidRPr="00AE599B" w:rsidP="00AE599B">
            <w:pPr>
              <w:pStyle w:val="ListBullet"/>
            </w:pPr>
            <w:r w:rsidRPr="00AE599B">
              <w:t>sink</w:t>
            </w:r>
          </w:p>
          <w:p w:rsidR="00000000" w:rsidP="00AE599B">
            <w:pPr>
              <w:pStyle w:val="ListBullet"/>
              <w:rPr>
                <w:lang w:val="en-NZ"/>
              </w:rPr>
            </w:pPr>
            <w:r w:rsidRPr="00AE599B">
              <w:t>dishwasher</w:t>
            </w:r>
          </w:p>
        </w:tc>
      </w:tr>
      <w:tr w:rsidTr="00AE59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99B">
            <w:pPr>
              <w:pStyle w:val="BodyText"/>
              <w:rPr>
                <w:lang w:val="en-NZ"/>
              </w:rPr>
            </w:pPr>
            <w:r w:rsidRPr="00AE599B">
              <w:rPr>
                <w:rStyle w:val="SpecialBold"/>
              </w:rPr>
              <w:t>Lighting sources may include:</w:t>
            </w:r>
          </w:p>
        </w:tc>
        <w:tc>
          <w:tcPr>
            <w:tcW w:w="6312" w:type="dxa"/>
            <w:tcBorders>
              <w:top w:val="nil"/>
              <w:left w:val="nil"/>
              <w:bottom w:val="nil"/>
              <w:right w:val="nil"/>
            </w:tcBorders>
            <w:tcMar>
              <w:top w:w="0" w:type="dxa"/>
              <w:left w:w="62" w:type="dxa"/>
              <w:bottom w:w="0" w:type="dxa"/>
              <w:right w:w="62" w:type="dxa"/>
            </w:tcMar>
          </w:tcPr>
          <w:p w:rsidR="00000000" w:rsidRPr="00AE599B" w:rsidP="00AE599B">
            <w:pPr>
              <w:pStyle w:val="ListBullet"/>
            </w:pPr>
            <w:r w:rsidRPr="00AE599B">
              <w:t>incandescent</w:t>
            </w:r>
          </w:p>
          <w:p w:rsidR="00000000" w:rsidRPr="00AE599B" w:rsidP="00AE599B">
            <w:pPr>
              <w:pStyle w:val="ListBullet"/>
            </w:pPr>
            <w:r w:rsidRPr="00AE599B">
              <w:t>fluorescent</w:t>
            </w:r>
          </w:p>
          <w:p w:rsidR="00000000" w:rsidRPr="00AE599B" w:rsidP="00AE599B">
            <w:pPr>
              <w:pStyle w:val="ListBullet"/>
            </w:pPr>
            <w:r w:rsidRPr="00AE599B">
              <w:t>halogen or dichroic</w:t>
            </w:r>
          </w:p>
          <w:p w:rsidR="00000000" w:rsidRPr="00AE599B" w:rsidP="00AE599B">
            <w:pPr>
              <w:pStyle w:val="ListBullet"/>
            </w:pPr>
            <w:r w:rsidRPr="00AE599B">
              <w:t>natural lig</w:t>
            </w:r>
            <w:r w:rsidRPr="00AE599B">
              <w:t>ht</w:t>
            </w:r>
          </w:p>
        </w:tc>
      </w:tr>
    </w:tbl>
    <w:p w:rsidR="00000000" w:rsidRPr="00AE599B" w:rsidP="00AE599B">
      <w:pPr>
        <w:pStyle w:val="BodyText"/>
      </w:pPr>
    </w:p>
    <w:p w:rsidR="00000000" w:rsidRPr="00AE599B" w:rsidP="00AE599B">
      <w:pPr>
        <w:pStyle w:val="AllowPageBreak"/>
      </w:pPr>
    </w:p>
    <w:p w:rsidR="00000000" w:rsidRPr="00AE599B" w:rsidP="00AE599B">
      <w:pPr>
        <w:pStyle w:val="Heading1"/>
      </w:pPr>
      <w:bookmarkStart w:id="9" w:name="O_627180"/>
      <w:bookmarkEnd w:id="9"/>
      <w:r w:rsidRPr="00AE599B">
        <w:t>Unit Mapping Information</w:t>
      </w:r>
    </w:p>
    <w:p w:rsidR="00000000" w:rsidRPr="00AE599B" w:rsidP="00AE599B">
      <w:pPr>
        <w:pStyle w:val="BodyText"/>
      </w:pPr>
      <w:r w:rsidRPr="00AE599B">
        <w:t>Supersedes and is equivalent to LMFKB4001A Determine spatial planning considerations for kitchen design.</w:t>
      </w:r>
    </w:p>
    <w:p w:rsidR="00000000" w:rsidRPr="00AE599B" w:rsidP="00AE599B">
      <w:pPr>
        <w:pStyle w:val="AllowPageBreak"/>
      </w:pPr>
    </w:p>
    <w:p w:rsidR="00000000" w:rsidRPr="00AE599B" w:rsidP="00AE599B">
      <w:pPr>
        <w:pStyle w:val="Heading1"/>
      </w:pPr>
      <w:bookmarkStart w:id="10" w:name="O_627173"/>
      <w:bookmarkEnd w:id="10"/>
      <w:r w:rsidRPr="00AE599B">
        <w:t>Links</w:t>
      </w:r>
    </w:p>
    <w:p w:rsidR="00000000" w:rsidRPr="00AE599B" w:rsidP="00AE599B">
      <w:pPr>
        <w:pStyle w:val="BodyText"/>
      </w:pPr>
      <w:r w:rsidRPr="00AE599B">
        <w:t>Companion Volume implementation guides are found in VETNet - https://vetnet.education.gov.au/Pages/TrainingDocs.aspx?q=0601ab95-583a-4e93-b2d4-cfb27b03ed73</w:t>
      </w:r>
    </w:p>
    <w:p w:rsidR="00000000" w:rsidRPr="00AE599B" w:rsidP="00AE599B"/>
    <w:sectPr w:rsidSect="00AE59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9B" w:rsidRPr="00B662A8" w:rsidP="00B66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A8" w:rsidP="00AE5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62A8" w:rsidP="00AE59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62A8" w:rsidP="00AE5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99B" w:rsidRPr="00B662A8" w:rsidP="00B66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A8" w:rsidRPr="002D2AF8" w:rsidP="00AE599B">
    <w:pPr>
      <w:pStyle w:val="Header"/>
      <w:framePr w:wrap="around"/>
    </w:pPr>
    <w:r>
      <w:fldChar w:fldCharType="begin"/>
    </w:r>
    <w:r>
      <w:instrText xml:space="preserve"> TITLE   \* MERGEFORMAT </w:instrText>
    </w:r>
    <w:r>
      <w:fldChar w:fldCharType="separate"/>
    </w:r>
    <w:r>
      <w:t>MSFKB4001 Determine spatial planning considerations for kitchen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662A8" w:rsidP="00AE5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007D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2E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99B"/>
    <w:pPr>
      <w:spacing w:before="360" w:after="60"/>
      <w:outlineLvl w:val="0"/>
    </w:pPr>
    <w:rPr>
      <w:sz w:val="32"/>
    </w:rPr>
  </w:style>
  <w:style w:type="paragraph" w:styleId="Heading2">
    <w:name w:val="heading 2"/>
    <w:basedOn w:val="HeadingBase"/>
    <w:next w:val="BodyText"/>
    <w:link w:val="Heading2Char"/>
    <w:qFormat/>
    <w:rsid w:val="00AE599B"/>
    <w:pPr>
      <w:keepLines/>
      <w:spacing w:before="240" w:after="120"/>
      <w:outlineLvl w:val="1"/>
    </w:pPr>
    <w:rPr>
      <w:sz w:val="28"/>
      <w:szCs w:val="40"/>
    </w:rPr>
  </w:style>
  <w:style w:type="paragraph" w:styleId="Heading3">
    <w:name w:val="heading 3"/>
    <w:basedOn w:val="HeadingBase"/>
    <w:next w:val="BodyText"/>
    <w:link w:val="Heading3Char"/>
    <w:qFormat/>
    <w:rsid w:val="00AE599B"/>
    <w:pPr>
      <w:spacing w:before="180" w:after="120"/>
      <w:outlineLvl w:val="2"/>
    </w:pPr>
    <w:rPr>
      <w:spacing w:val="-10"/>
      <w:kern w:val="32"/>
    </w:rPr>
  </w:style>
  <w:style w:type="paragraph" w:styleId="Heading4">
    <w:name w:val="heading 4"/>
    <w:basedOn w:val="HeadingBase"/>
    <w:next w:val="BodyText"/>
    <w:link w:val="Heading4Char"/>
    <w:qFormat/>
    <w:rsid w:val="00AE599B"/>
    <w:pPr>
      <w:spacing w:before="160" w:after="120"/>
      <w:outlineLvl w:val="3"/>
    </w:pPr>
    <w:rPr>
      <w:sz w:val="22"/>
    </w:rPr>
  </w:style>
  <w:style w:type="paragraph" w:styleId="Heading5">
    <w:name w:val="heading 5"/>
    <w:basedOn w:val="HeadingBase"/>
    <w:next w:val="Normal"/>
    <w:link w:val="Heading5Char"/>
    <w:qFormat/>
    <w:rsid w:val="00AE599B"/>
    <w:pPr>
      <w:spacing w:before="80"/>
      <w:outlineLvl w:val="4"/>
    </w:pPr>
    <w:rPr>
      <w:color w:val="918585"/>
      <w:sz w:val="20"/>
    </w:rPr>
  </w:style>
  <w:style w:type="paragraph" w:styleId="Heading6">
    <w:name w:val="heading 6"/>
    <w:basedOn w:val="HeadingBase"/>
    <w:next w:val="Normal"/>
    <w:link w:val="Heading6Char"/>
    <w:qFormat/>
    <w:rsid w:val="00AE599B"/>
    <w:pPr>
      <w:spacing w:before="60"/>
      <w:outlineLvl w:val="5"/>
    </w:pPr>
    <w:rPr>
      <w:color w:val="918585"/>
      <w:sz w:val="20"/>
    </w:rPr>
  </w:style>
  <w:style w:type="paragraph" w:styleId="Heading7">
    <w:name w:val="heading 7"/>
    <w:basedOn w:val="Normal"/>
    <w:next w:val="Normal"/>
    <w:link w:val="Heading7Char"/>
    <w:qFormat/>
    <w:rsid w:val="00AE599B"/>
    <w:pPr>
      <w:ind w:left="720"/>
      <w:outlineLvl w:val="6"/>
    </w:pPr>
    <w:rPr>
      <w:i/>
    </w:rPr>
  </w:style>
  <w:style w:type="paragraph" w:styleId="Heading8">
    <w:name w:val="heading 8"/>
    <w:basedOn w:val="Normal"/>
    <w:next w:val="Normal"/>
    <w:link w:val="Heading8Char"/>
    <w:qFormat/>
    <w:rsid w:val="00AE599B"/>
    <w:pPr>
      <w:ind w:left="720"/>
      <w:outlineLvl w:val="7"/>
    </w:pPr>
    <w:rPr>
      <w:i/>
    </w:rPr>
  </w:style>
  <w:style w:type="paragraph" w:styleId="Heading9">
    <w:name w:val="heading 9"/>
    <w:basedOn w:val="Normal"/>
    <w:next w:val="Normal"/>
    <w:link w:val="Heading9Char"/>
    <w:qFormat/>
    <w:rsid w:val="00AE599B"/>
    <w:pPr>
      <w:ind w:left="720"/>
      <w:outlineLvl w:val="8"/>
    </w:pPr>
    <w:rPr>
      <w:i/>
    </w:rPr>
  </w:style>
  <w:style w:type="character" w:default="1" w:styleId="DefaultParagraphFont">
    <w:name w:val="Default Paragraph Font"/>
    <w:uiPriority w:val="1"/>
    <w:unhideWhenUsed/>
    <w:rsid w:val="00AE5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99B"/>
  </w:style>
  <w:style w:type="character" w:customStyle="1" w:styleId="Heading1Char">
    <w:name w:val="Heading 1 Char"/>
    <w:basedOn w:val="DefaultParagraphFont"/>
    <w:link w:val="Heading1"/>
    <w:rsid w:val="00AE599B"/>
    <w:rPr>
      <w:rFonts w:ascii="Times New Roman" w:eastAsia="Times New Roman" w:hAnsi="Times New Roman" w:cs="Times New Roman"/>
      <w:b/>
      <w:sz w:val="32"/>
      <w:szCs w:val="20"/>
      <w:lang w:eastAsia="en-US"/>
    </w:rPr>
  </w:style>
  <w:style w:type="paragraph" w:styleId="BodyText">
    <w:name w:val="Body Text"/>
    <w:basedOn w:val="Normal"/>
    <w:link w:val="BodyTextChar"/>
    <w:rsid w:val="00AE59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99B"/>
    <w:rPr>
      <w:rFonts w:ascii="Times New Roman" w:eastAsia="Times New Roman" w:hAnsi="Times New Roman" w:cs="Times New Roman"/>
      <w:sz w:val="24"/>
      <w:lang w:eastAsia="en-US"/>
    </w:rPr>
  </w:style>
  <w:style w:type="paragraph" w:styleId="ListBullet">
    <w:name w:val="List Bullet"/>
    <w:basedOn w:val="List"/>
    <w:rsid w:val="00AE599B"/>
    <w:pPr>
      <w:numPr>
        <w:numId w:val="12"/>
      </w:numPr>
      <w:tabs>
        <w:tab w:val="clear" w:pos="340"/>
      </w:tabs>
      <w:spacing w:before="40" w:after="40"/>
    </w:pPr>
  </w:style>
  <w:style w:type="character" w:customStyle="1" w:styleId="SpecialBold">
    <w:name w:val="Special Bold"/>
    <w:basedOn w:val="DefaultParagraphFont"/>
    <w:rsid w:val="00AE599B"/>
    <w:rPr>
      <w:b/>
      <w:spacing w:val="0"/>
    </w:rPr>
  </w:style>
  <w:style w:type="character" w:styleId="Emphasis">
    <w:name w:val="Emphasis"/>
    <w:basedOn w:val="DefaultParagraphFont"/>
    <w:qFormat/>
    <w:rsid w:val="00AE599B"/>
    <w:rPr>
      <w:i/>
    </w:rPr>
  </w:style>
  <w:style w:type="paragraph" w:customStyle="1" w:styleId="SuperHeading">
    <w:name w:val="SuperHeading"/>
    <w:basedOn w:val="Normal"/>
    <w:rsid w:val="00AE599B"/>
    <w:pPr>
      <w:spacing w:before="240" w:after="120"/>
      <w:outlineLvl w:val="0"/>
    </w:pPr>
    <w:rPr>
      <w:rFonts w:ascii="Times New Roman" w:hAnsi="Times New Roman"/>
      <w:b/>
      <w:sz w:val="32"/>
    </w:rPr>
  </w:style>
  <w:style w:type="paragraph" w:customStyle="1" w:styleId="AllowPageBreak">
    <w:name w:val="AllowPageBreak"/>
    <w:rsid w:val="00AE5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99B"/>
    <w:rPr>
      <w:rFonts w:ascii="Courier New" w:eastAsia="Times New Roman" w:hAnsi="Courier New" w:cs="Times New Roman"/>
      <w:i/>
      <w:szCs w:val="20"/>
      <w:lang w:eastAsia="en-US"/>
    </w:rPr>
  </w:style>
  <w:style w:type="paragraph" w:customStyle="1" w:styleId="HeadingBase">
    <w:name w:val="Heading Base"/>
    <w:rsid w:val="00AE5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99B"/>
    <w:pPr>
      <w:tabs>
        <w:tab w:val="right" w:leader="dot" w:pos="9072"/>
      </w:tabs>
      <w:ind w:left="567"/>
    </w:pPr>
    <w:rPr>
      <w:szCs w:val="22"/>
    </w:rPr>
  </w:style>
  <w:style w:type="paragraph" w:customStyle="1" w:styleId="TOCBase">
    <w:name w:val="TOC Base"/>
    <w:rsid w:val="00AE5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99B"/>
    <w:pPr>
      <w:tabs>
        <w:tab w:val="right" w:leader="dot" w:pos="9072"/>
      </w:tabs>
      <w:spacing w:before="40" w:after="40"/>
      <w:ind w:left="284"/>
    </w:pPr>
    <w:rPr>
      <w:rFonts w:ascii="Times New Roman" w:hAnsi="Times New Roman"/>
    </w:rPr>
  </w:style>
  <w:style w:type="paragraph" w:styleId="TOC1">
    <w:name w:val="toc 1"/>
    <w:basedOn w:val="TOCBase"/>
    <w:next w:val="Normal"/>
    <w:rsid w:val="00AE5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99B"/>
    <w:rPr>
      <w:rFonts w:ascii="Times New Roman" w:eastAsia="Times New Roman" w:hAnsi="Times New Roman" w:cs="Times New Roman"/>
      <w:sz w:val="16"/>
      <w:lang w:eastAsia="en-US"/>
    </w:rPr>
  </w:style>
  <w:style w:type="paragraph" w:styleId="Title">
    <w:name w:val="Title"/>
    <w:basedOn w:val="HeadingBase"/>
    <w:link w:val="TitleChar"/>
    <w:qFormat/>
    <w:rsid w:val="00AE599B"/>
    <w:pPr>
      <w:spacing w:before="5040"/>
      <w:jc w:val="center"/>
    </w:pPr>
    <w:rPr>
      <w:sz w:val="48"/>
      <w:szCs w:val="72"/>
      <w:lang w:val="en-US"/>
    </w:rPr>
  </w:style>
  <w:style w:type="character" w:customStyle="1" w:styleId="TitleChar">
    <w:name w:val="Title Char"/>
    <w:basedOn w:val="DefaultParagraphFont"/>
    <w:link w:val="Title"/>
    <w:rsid w:val="00AE5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99B"/>
    <w:pPr>
      <w:tabs>
        <w:tab w:val="left" w:pos="3600"/>
        <w:tab w:val="left" w:pos="3958"/>
      </w:tabs>
    </w:pPr>
  </w:style>
  <w:style w:type="paragraph" w:styleId="List">
    <w:name w:val="List"/>
    <w:basedOn w:val="BodyText"/>
    <w:next w:val="BodyText"/>
    <w:rsid w:val="00AE599B"/>
    <w:pPr>
      <w:tabs>
        <w:tab w:val="left" w:pos="340"/>
      </w:tabs>
      <w:spacing w:before="60" w:after="60"/>
      <w:ind w:left="340" w:hanging="340"/>
    </w:pPr>
  </w:style>
  <w:style w:type="paragraph" w:customStyle="1" w:styleId="Note">
    <w:name w:val="Note"/>
    <w:basedOn w:val="BodyText"/>
    <w:rsid w:val="00AE5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99B"/>
    <w:pPr>
      <w:framePr w:wrap="auto" w:hAnchor="text" w:y="6049"/>
    </w:pPr>
    <w:rPr>
      <w:color w:val="000000"/>
      <w:sz w:val="40"/>
    </w:rPr>
  </w:style>
  <w:style w:type="paragraph" w:customStyle="1" w:styleId="TOCTitle">
    <w:name w:val="TOCTitle"/>
    <w:basedOn w:val="Heading1"/>
    <w:rsid w:val="00AE599B"/>
    <w:pPr>
      <w:spacing w:after="240"/>
      <w:jc w:val="center"/>
      <w:outlineLvl w:val="9"/>
    </w:pPr>
    <w:rPr>
      <w:caps/>
    </w:rPr>
  </w:style>
  <w:style w:type="paragraph" w:customStyle="1" w:styleId="Version">
    <w:name w:val="Version"/>
    <w:rsid w:val="00AE5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99B"/>
    <w:pPr>
      <w:numPr>
        <w:numId w:val="13"/>
      </w:numPr>
      <w:tabs>
        <w:tab w:val="clear" w:pos="680"/>
      </w:tabs>
    </w:pPr>
  </w:style>
  <w:style w:type="paragraph" w:styleId="Index1">
    <w:name w:val="index 1"/>
    <w:basedOn w:val="Normal"/>
    <w:next w:val="Normal"/>
    <w:semiHidden/>
    <w:rsid w:val="00AE599B"/>
    <w:pPr>
      <w:keepNext w:val="0"/>
      <w:tabs>
        <w:tab w:val="right" w:pos="4176"/>
      </w:tabs>
      <w:ind w:left="198" w:hanging="198"/>
    </w:pPr>
    <w:rPr>
      <w:rFonts w:ascii="Garamond" w:hAnsi="Garamond"/>
    </w:rPr>
  </w:style>
  <w:style w:type="paragraph" w:styleId="IndexHeading">
    <w:name w:val="index heading"/>
    <w:basedOn w:val="Normal"/>
    <w:next w:val="Index1"/>
    <w:semiHidden/>
    <w:rsid w:val="00AE599B"/>
    <w:pPr>
      <w:spacing w:before="120" w:after="120"/>
    </w:pPr>
    <w:rPr>
      <w:rFonts w:ascii="Arial" w:hAnsi="Arial"/>
      <w:b/>
      <w:color w:val="918585"/>
      <w:sz w:val="24"/>
    </w:rPr>
  </w:style>
  <w:style w:type="paragraph" w:styleId="Header">
    <w:name w:val="header"/>
    <w:basedOn w:val="Normal"/>
    <w:link w:val="HeaderChar"/>
    <w:rsid w:val="00AE5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99B"/>
    <w:rPr>
      <w:rFonts w:ascii="Times New Roman" w:eastAsia="Times New Roman" w:hAnsi="Times New Roman" w:cs="Times New Roman"/>
      <w:sz w:val="16"/>
      <w:szCs w:val="20"/>
      <w:lang w:val="en-GB" w:eastAsia="en-US"/>
    </w:rPr>
  </w:style>
  <w:style w:type="paragraph" w:customStyle="1" w:styleId="Chapter">
    <w:name w:val="Chapter"/>
    <w:basedOn w:val="Normal"/>
    <w:rsid w:val="00AE599B"/>
    <w:pPr>
      <w:spacing w:before="240"/>
    </w:pPr>
    <w:rPr>
      <w:rFonts w:ascii="Times New Roman" w:hAnsi="Times New Roman"/>
      <w:smallCaps/>
      <w:spacing w:val="80"/>
      <w:sz w:val="28"/>
    </w:rPr>
  </w:style>
  <w:style w:type="paragraph" w:customStyle="1" w:styleId="InChapter">
    <w:name w:val="InChapter"/>
    <w:basedOn w:val="Heading3"/>
    <w:rsid w:val="00AE599B"/>
    <w:pPr>
      <w:spacing w:after="240"/>
      <w:outlineLvl w:val="9"/>
    </w:pPr>
    <w:rPr>
      <w:noProof/>
    </w:rPr>
  </w:style>
  <w:style w:type="paragraph" w:styleId="Index2">
    <w:name w:val="index 2"/>
    <w:basedOn w:val="Normal"/>
    <w:next w:val="Normal"/>
    <w:semiHidden/>
    <w:rsid w:val="00AE599B"/>
    <w:pPr>
      <w:tabs>
        <w:tab w:val="right" w:pos="4176"/>
      </w:tabs>
      <w:ind w:left="568" w:hanging="284"/>
    </w:pPr>
    <w:rPr>
      <w:rFonts w:ascii="Garamond" w:hAnsi="Garamond"/>
    </w:rPr>
  </w:style>
  <w:style w:type="paragraph" w:customStyle="1" w:styleId="Byline">
    <w:name w:val="Byline"/>
    <w:rsid w:val="00AE5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99B"/>
    <w:pPr>
      <w:tabs>
        <w:tab w:val="clear" w:pos="3600"/>
        <w:tab w:val="clear" w:pos="3958"/>
      </w:tabs>
      <w:jc w:val="right"/>
    </w:pPr>
  </w:style>
  <w:style w:type="paragraph" w:styleId="Caption">
    <w:name w:val="caption"/>
    <w:basedOn w:val="BodyText"/>
    <w:next w:val="Normal"/>
    <w:qFormat/>
    <w:rsid w:val="00AE599B"/>
    <w:pPr>
      <w:framePr w:w="2268" w:hSpace="181" w:vSpace="181" w:wrap="around" w:vAnchor="text" w:hAnchor="page" w:x="1135" w:y="285" w:anchorLock="1"/>
    </w:pPr>
    <w:rPr>
      <w:i/>
    </w:rPr>
  </w:style>
  <w:style w:type="paragraph" w:customStyle="1" w:styleId="MiniTOCTitle">
    <w:name w:val="MiniTOCTitle"/>
    <w:basedOn w:val="Heading4"/>
    <w:rsid w:val="00AE599B"/>
    <w:pPr>
      <w:spacing w:before="240"/>
      <w:outlineLvl w:val="9"/>
    </w:pPr>
    <w:rPr>
      <w:noProof/>
      <w:sz w:val="24"/>
    </w:rPr>
  </w:style>
  <w:style w:type="paragraph" w:customStyle="1" w:styleId="MiniTOCItem">
    <w:name w:val="MiniTOCItem"/>
    <w:basedOn w:val="ListBullet"/>
    <w:rsid w:val="00AE599B"/>
    <w:pPr>
      <w:numPr>
        <w:numId w:val="0"/>
      </w:numPr>
      <w:tabs>
        <w:tab w:val="right" w:leader="dot" w:pos="6521"/>
      </w:tabs>
      <w:spacing w:before="0" w:after="0"/>
    </w:pPr>
  </w:style>
  <w:style w:type="paragraph" w:customStyle="1" w:styleId="TOFTitle">
    <w:name w:val="TOFTitle"/>
    <w:basedOn w:val="TOCTitle"/>
    <w:rsid w:val="00AE599B"/>
  </w:style>
  <w:style w:type="paragraph" w:styleId="TableofFigures">
    <w:name w:val="table of figures"/>
    <w:basedOn w:val="Normal"/>
    <w:next w:val="Normal"/>
    <w:semiHidden/>
    <w:rsid w:val="00AE599B"/>
    <w:pPr>
      <w:tabs>
        <w:tab w:val="right" w:leader="dot" w:pos="9072"/>
      </w:tabs>
      <w:ind w:left="970" w:hanging="403"/>
    </w:pPr>
    <w:rPr>
      <w:rFonts w:ascii="Times New Roman" w:hAnsi="Times New Roman"/>
      <w:b/>
    </w:rPr>
  </w:style>
  <w:style w:type="paragraph" w:styleId="ListNumber">
    <w:name w:val="List Number"/>
    <w:basedOn w:val="List"/>
    <w:rsid w:val="00AE599B"/>
    <w:pPr>
      <w:numPr>
        <w:numId w:val="10"/>
      </w:numPr>
    </w:pPr>
  </w:style>
  <w:style w:type="character" w:customStyle="1" w:styleId="WingdingSymbols">
    <w:name w:val="Wingding Symbols"/>
    <w:rsid w:val="00AE599B"/>
    <w:rPr>
      <w:rFonts w:ascii="Wingdings" w:hAnsi="Wingdings"/>
    </w:rPr>
  </w:style>
  <w:style w:type="paragraph" w:customStyle="1" w:styleId="TableHeading">
    <w:name w:val="Table Heading"/>
    <w:basedOn w:val="HeadingBase"/>
    <w:rsid w:val="00AE599B"/>
    <w:pPr>
      <w:keepLines/>
      <w:pBdr>
        <w:bottom w:val="single" w:sz="6" w:space="1" w:color="918585"/>
      </w:pBdr>
      <w:spacing w:before="240"/>
    </w:pPr>
  </w:style>
  <w:style w:type="character" w:customStyle="1" w:styleId="HotSpot">
    <w:name w:val="HotSpot"/>
    <w:rsid w:val="00AE599B"/>
    <w:rPr>
      <w:color w:val="0033CC"/>
      <w:u w:val="none"/>
    </w:rPr>
  </w:style>
  <w:style w:type="paragraph" w:customStyle="1" w:styleId="BodyTextRight">
    <w:name w:val="Body Text Right"/>
    <w:basedOn w:val="BodyText"/>
    <w:rsid w:val="00AE599B"/>
    <w:pPr>
      <w:spacing w:before="0" w:after="0"/>
      <w:jc w:val="right"/>
    </w:pPr>
  </w:style>
  <w:style w:type="paragraph" w:styleId="Index3">
    <w:name w:val="index 3"/>
    <w:basedOn w:val="ListNumber2"/>
    <w:next w:val="Normal"/>
    <w:semiHidden/>
    <w:rsid w:val="00AE599B"/>
    <w:pPr>
      <w:numPr>
        <w:numId w:val="0"/>
      </w:numPr>
      <w:tabs>
        <w:tab w:val="right" w:leader="dot" w:pos="4176"/>
      </w:tabs>
    </w:pPr>
  </w:style>
  <w:style w:type="paragraph" w:styleId="ListNumber2">
    <w:name w:val="List Number 2"/>
    <w:basedOn w:val="List2"/>
    <w:rsid w:val="00AE599B"/>
    <w:pPr>
      <w:numPr>
        <w:numId w:val="9"/>
      </w:numPr>
      <w:tabs>
        <w:tab w:val="clear" w:pos="1060"/>
      </w:tabs>
    </w:pPr>
  </w:style>
  <w:style w:type="paragraph" w:customStyle="1" w:styleId="MarginNote">
    <w:name w:val="Margin Note"/>
    <w:basedOn w:val="BodyText"/>
    <w:rsid w:val="00AE5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99B"/>
    <w:rPr>
      <w:sz w:val="32"/>
    </w:rPr>
  </w:style>
  <w:style w:type="paragraph" w:customStyle="1" w:styleId="HeadingProcedure">
    <w:name w:val="Heading Procedure"/>
    <w:basedOn w:val="HeadingBase"/>
    <w:next w:val="Normal"/>
    <w:rsid w:val="00AE599B"/>
    <w:pPr>
      <w:tabs>
        <w:tab w:val="left" w:pos="0"/>
      </w:tabs>
      <w:spacing w:before="120" w:after="60"/>
    </w:pPr>
    <w:rPr>
      <w:i/>
      <w:color w:val="918585"/>
      <w:sz w:val="22"/>
    </w:rPr>
  </w:style>
  <w:style w:type="paragraph" w:customStyle="1" w:styleId="TableBodyText">
    <w:name w:val="Table Body Text"/>
    <w:basedOn w:val="BodyText"/>
    <w:rsid w:val="00AE599B"/>
    <w:pPr>
      <w:spacing w:before="60" w:after="60"/>
    </w:pPr>
  </w:style>
  <w:style w:type="paragraph" w:styleId="ListContinue">
    <w:name w:val="List Continue"/>
    <w:basedOn w:val="List"/>
    <w:rsid w:val="00AE599B"/>
    <w:pPr>
      <w:ind w:firstLine="0"/>
    </w:pPr>
  </w:style>
  <w:style w:type="paragraph" w:customStyle="1" w:styleId="ListNote">
    <w:name w:val="List Note"/>
    <w:basedOn w:val="List"/>
    <w:rsid w:val="00AE599B"/>
    <w:pPr>
      <w:pBdr>
        <w:top w:val="single" w:sz="6" w:space="2" w:color="918585"/>
        <w:bottom w:val="single" w:sz="6" w:space="2" w:color="918585"/>
      </w:pBdr>
      <w:tabs>
        <w:tab w:val="left" w:pos="1021"/>
      </w:tabs>
      <w:ind w:firstLine="0"/>
    </w:pPr>
  </w:style>
  <w:style w:type="paragraph" w:customStyle="1" w:styleId="Warning">
    <w:name w:val="Warning"/>
    <w:basedOn w:val="BodyText"/>
    <w:rsid w:val="00AE599B"/>
    <w:pPr>
      <w:shd w:val="clear" w:color="auto" w:fill="D9D9D9"/>
      <w:tabs>
        <w:tab w:val="left" w:pos="992"/>
      </w:tabs>
      <w:ind w:left="119" w:right="119"/>
    </w:pPr>
    <w:rPr>
      <w:sz w:val="20"/>
    </w:rPr>
  </w:style>
  <w:style w:type="paragraph" w:customStyle="1" w:styleId="MarginIcons">
    <w:name w:val="Margin Icons"/>
    <w:basedOn w:val="BodyText"/>
    <w:rsid w:val="00AE5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99B"/>
    <w:rPr>
      <w:rFonts w:ascii="Courier New" w:hAnsi="Courier New"/>
    </w:rPr>
  </w:style>
  <w:style w:type="paragraph" w:customStyle="1" w:styleId="NoteBullet">
    <w:name w:val="Note Bullet"/>
    <w:basedOn w:val="Note"/>
    <w:rsid w:val="00AE599B"/>
    <w:pPr>
      <w:tabs>
        <w:tab w:val="clear" w:pos="680"/>
      </w:tabs>
      <w:spacing w:before="60" w:after="60"/>
    </w:pPr>
  </w:style>
  <w:style w:type="paragraph" w:customStyle="1" w:styleId="SubHeading2">
    <w:name w:val="SubHeading2"/>
    <w:basedOn w:val="HeadingBase"/>
    <w:rsid w:val="00AE599B"/>
    <w:pPr>
      <w:spacing w:before="240" w:after="60"/>
    </w:pPr>
    <w:rPr>
      <w:sz w:val="20"/>
    </w:rPr>
  </w:style>
  <w:style w:type="paragraph" w:customStyle="1" w:styleId="SubHeading1">
    <w:name w:val="SubHeading1"/>
    <w:basedOn w:val="HeadingBase"/>
    <w:rsid w:val="00AE599B"/>
    <w:pPr>
      <w:spacing w:before="240" w:after="60"/>
    </w:pPr>
    <w:rPr>
      <w:color w:val="918585"/>
      <w:sz w:val="22"/>
    </w:rPr>
  </w:style>
  <w:style w:type="paragraph" w:customStyle="1" w:styleId="SideHeading">
    <w:name w:val="Side Heading"/>
    <w:basedOn w:val="HeadingBase"/>
    <w:rsid w:val="00AE5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99B"/>
    <w:pPr>
      <w:tabs>
        <w:tab w:val="num" w:pos="360"/>
      </w:tabs>
    </w:pPr>
  </w:style>
  <w:style w:type="paragraph" w:styleId="PlainText">
    <w:name w:val="Plain Text"/>
    <w:basedOn w:val="Normal"/>
    <w:link w:val="PlainTextChar"/>
    <w:rsid w:val="00AE599B"/>
    <w:rPr>
      <w:sz w:val="20"/>
    </w:rPr>
  </w:style>
  <w:style w:type="character" w:customStyle="1" w:styleId="PlainTextChar">
    <w:name w:val="Plain Text Char"/>
    <w:basedOn w:val="DefaultParagraphFont"/>
    <w:link w:val="PlainText"/>
    <w:rsid w:val="00AE599B"/>
    <w:rPr>
      <w:rFonts w:ascii="Courier New" w:eastAsia="Times New Roman" w:hAnsi="Courier New" w:cs="Times New Roman"/>
      <w:sz w:val="20"/>
      <w:szCs w:val="20"/>
      <w:lang w:eastAsia="en-US"/>
    </w:rPr>
  </w:style>
  <w:style w:type="character" w:customStyle="1" w:styleId="MenuOption">
    <w:name w:val="Menu Option"/>
    <w:basedOn w:val="DefaultParagraphFont"/>
    <w:rsid w:val="00AE599B"/>
    <w:rPr>
      <w:b/>
      <w:smallCaps/>
    </w:rPr>
  </w:style>
  <w:style w:type="paragraph" w:customStyle="1" w:styleId="TableListNumber">
    <w:name w:val="Table List Number"/>
    <w:basedOn w:val="ListNumber"/>
    <w:rsid w:val="00AE599B"/>
    <w:pPr>
      <w:numPr>
        <w:numId w:val="0"/>
      </w:numPr>
    </w:pPr>
  </w:style>
  <w:style w:type="paragraph" w:styleId="TOC4">
    <w:name w:val="toc 4"/>
    <w:basedOn w:val="TOCBase"/>
    <w:next w:val="Normal"/>
    <w:semiHidden/>
    <w:rsid w:val="00AE599B"/>
    <w:pPr>
      <w:tabs>
        <w:tab w:val="right" w:leader="dot" w:pos="9071"/>
      </w:tabs>
      <w:ind w:left="1701"/>
    </w:pPr>
  </w:style>
  <w:style w:type="paragraph" w:customStyle="1" w:styleId="ListAlpha">
    <w:name w:val="List Alpha"/>
    <w:basedOn w:val="List"/>
    <w:rsid w:val="00AE599B"/>
    <w:pPr>
      <w:numPr>
        <w:numId w:val="8"/>
      </w:numPr>
    </w:pPr>
  </w:style>
  <w:style w:type="paragraph" w:customStyle="1" w:styleId="ListAlpha2">
    <w:name w:val="List Alpha 2"/>
    <w:basedOn w:val="List2"/>
    <w:rsid w:val="00AE599B"/>
    <w:pPr>
      <w:numPr>
        <w:numId w:val="7"/>
      </w:numPr>
    </w:pPr>
  </w:style>
  <w:style w:type="paragraph" w:styleId="List2">
    <w:name w:val="List 2"/>
    <w:basedOn w:val="BodyText"/>
    <w:rsid w:val="00AE599B"/>
    <w:pPr>
      <w:tabs>
        <w:tab w:val="left" w:pos="680"/>
      </w:tabs>
      <w:spacing w:before="60" w:after="60"/>
      <w:ind w:left="680" w:hanging="340"/>
    </w:pPr>
  </w:style>
  <w:style w:type="paragraph" w:styleId="List3">
    <w:name w:val="List 3"/>
    <w:basedOn w:val="BodyText"/>
    <w:rsid w:val="00AE599B"/>
    <w:pPr>
      <w:tabs>
        <w:tab w:val="left" w:pos="1021"/>
      </w:tabs>
      <w:spacing w:before="60" w:after="60"/>
      <w:ind w:left="1020" w:hanging="340"/>
    </w:pPr>
  </w:style>
  <w:style w:type="paragraph" w:styleId="List4">
    <w:name w:val="List 4"/>
    <w:basedOn w:val="BodyText"/>
    <w:rsid w:val="00AE599B"/>
    <w:pPr>
      <w:tabs>
        <w:tab w:val="left" w:pos="1361"/>
      </w:tabs>
      <w:spacing w:before="60" w:after="60"/>
      <w:ind w:left="1361" w:hanging="340"/>
    </w:pPr>
  </w:style>
  <w:style w:type="paragraph" w:styleId="List5">
    <w:name w:val="List 5"/>
    <w:basedOn w:val="BodyText"/>
    <w:rsid w:val="00AE599B"/>
    <w:pPr>
      <w:tabs>
        <w:tab w:val="left" w:pos="1701"/>
      </w:tabs>
      <w:spacing w:before="60" w:after="60"/>
      <w:ind w:left="1701" w:hanging="340"/>
    </w:pPr>
  </w:style>
  <w:style w:type="paragraph" w:styleId="ListBullet3">
    <w:name w:val="List Bullet 3"/>
    <w:basedOn w:val="List3"/>
    <w:rsid w:val="00AE599B"/>
    <w:pPr>
      <w:numPr>
        <w:numId w:val="14"/>
      </w:numPr>
      <w:tabs>
        <w:tab w:val="clear" w:pos="1021"/>
      </w:tabs>
      <w:ind w:left="1037" w:hanging="357"/>
    </w:pPr>
  </w:style>
  <w:style w:type="paragraph" w:styleId="ListBullet4">
    <w:name w:val="List Bullet 4"/>
    <w:basedOn w:val="List4"/>
    <w:rsid w:val="00AE599B"/>
    <w:pPr>
      <w:numPr>
        <w:numId w:val="2"/>
      </w:numPr>
      <w:tabs>
        <w:tab w:val="clear" w:pos="1361"/>
      </w:tabs>
    </w:pPr>
  </w:style>
  <w:style w:type="paragraph" w:styleId="ListBullet5">
    <w:name w:val="List Bullet 5"/>
    <w:basedOn w:val="List5"/>
    <w:rsid w:val="00AE599B"/>
    <w:pPr>
      <w:numPr>
        <w:numId w:val="3"/>
      </w:numPr>
    </w:pPr>
  </w:style>
  <w:style w:type="paragraph" w:styleId="ListContinue2">
    <w:name w:val="List Continue 2"/>
    <w:basedOn w:val="List2"/>
    <w:rsid w:val="00AE599B"/>
    <w:pPr>
      <w:ind w:firstLine="0"/>
    </w:pPr>
  </w:style>
  <w:style w:type="paragraph" w:styleId="ListContinue3">
    <w:name w:val="List Continue 3"/>
    <w:basedOn w:val="List3"/>
    <w:rsid w:val="00AE599B"/>
    <w:pPr>
      <w:ind w:left="1021" w:firstLine="0"/>
    </w:pPr>
  </w:style>
  <w:style w:type="paragraph" w:styleId="ListContinue4">
    <w:name w:val="List Continue 4"/>
    <w:basedOn w:val="List4"/>
    <w:rsid w:val="00AE599B"/>
    <w:pPr>
      <w:ind w:firstLine="0"/>
    </w:pPr>
  </w:style>
  <w:style w:type="paragraph" w:styleId="ListContinue5">
    <w:name w:val="List Continue 5"/>
    <w:basedOn w:val="List5"/>
    <w:rsid w:val="00AE599B"/>
    <w:pPr>
      <w:ind w:firstLine="0"/>
    </w:pPr>
  </w:style>
  <w:style w:type="paragraph" w:styleId="ListNumber3">
    <w:name w:val="List Number 3"/>
    <w:basedOn w:val="List3"/>
    <w:rsid w:val="00AE599B"/>
    <w:pPr>
      <w:numPr>
        <w:numId w:val="4"/>
      </w:numPr>
    </w:pPr>
  </w:style>
  <w:style w:type="paragraph" w:styleId="ListNumber4">
    <w:name w:val="List Number 4"/>
    <w:basedOn w:val="List4"/>
    <w:rsid w:val="00AE599B"/>
    <w:pPr>
      <w:numPr>
        <w:numId w:val="5"/>
      </w:numPr>
    </w:pPr>
  </w:style>
  <w:style w:type="paragraph" w:styleId="ListNumber5">
    <w:name w:val="List Number 5"/>
    <w:basedOn w:val="List5"/>
    <w:rsid w:val="00AE599B"/>
    <w:pPr>
      <w:numPr>
        <w:numId w:val="6"/>
      </w:numPr>
    </w:pPr>
  </w:style>
  <w:style w:type="paragraph" w:styleId="BlockText">
    <w:name w:val="Block Text"/>
    <w:basedOn w:val="Normal"/>
    <w:rsid w:val="00AE599B"/>
    <w:pPr>
      <w:spacing w:after="120"/>
      <w:ind w:left="1440" w:right="1440"/>
    </w:pPr>
  </w:style>
  <w:style w:type="character" w:customStyle="1" w:styleId="Subscript">
    <w:name w:val="Subscript"/>
    <w:basedOn w:val="DefaultParagraphFont"/>
    <w:rsid w:val="00AE599B"/>
    <w:rPr>
      <w:sz w:val="16"/>
      <w:vertAlign w:val="subscript"/>
    </w:rPr>
  </w:style>
  <w:style w:type="character" w:customStyle="1" w:styleId="Superscript">
    <w:name w:val="Superscript"/>
    <w:basedOn w:val="DefaultParagraphFont"/>
    <w:rsid w:val="00AE599B"/>
    <w:rPr>
      <w:sz w:val="16"/>
      <w:vertAlign w:val="superscript"/>
    </w:rPr>
  </w:style>
  <w:style w:type="character" w:customStyle="1" w:styleId="Symbols">
    <w:name w:val="Symbols"/>
    <w:basedOn w:val="DefaultParagraphFont"/>
    <w:rsid w:val="00AE599B"/>
    <w:rPr>
      <w:rFonts w:ascii="Symbol" w:hAnsi="Symbol"/>
    </w:rPr>
  </w:style>
  <w:style w:type="character" w:customStyle="1" w:styleId="MenuOptions">
    <w:name w:val="Menu Options"/>
    <w:basedOn w:val="DefaultParagraphFont"/>
    <w:rsid w:val="00AE599B"/>
    <w:rPr>
      <w:rFonts w:ascii="Arial Narrow" w:hAnsi="Arial Narrow"/>
      <w:smallCaps/>
    </w:rPr>
  </w:style>
  <w:style w:type="character" w:customStyle="1" w:styleId="Buttons">
    <w:name w:val="Buttons"/>
    <w:basedOn w:val="DefaultParagraphFont"/>
    <w:rsid w:val="00AE599B"/>
    <w:rPr>
      <w:b/>
    </w:rPr>
  </w:style>
  <w:style w:type="character" w:customStyle="1" w:styleId="Underlined">
    <w:name w:val="Underlined"/>
    <w:basedOn w:val="DefaultParagraphFont"/>
    <w:rsid w:val="00AE599B"/>
    <w:rPr>
      <w:u w:val="single"/>
    </w:rPr>
  </w:style>
  <w:style w:type="paragraph" w:customStyle="1" w:styleId="TableBodyTextRight">
    <w:name w:val="Table Body Text Right"/>
    <w:basedOn w:val="TableBodyText"/>
    <w:rsid w:val="00AE599B"/>
    <w:pPr>
      <w:widowControl w:val="0"/>
      <w:autoSpaceDE w:val="0"/>
      <w:autoSpaceDN w:val="0"/>
      <w:adjustRightInd w:val="0"/>
      <w:jc w:val="right"/>
    </w:pPr>
    <w:rPr>
      <w:rFonts w:cs="Arial"/>
      <w:szCs w:val="18"/>
    </w:rPr>
  </w:style>
  <w:style w:type="paragraph" w:customStyle="1" w:styleId="CopyrightText">
    <w:name w:val="Copyright Text"/>
    <w:basedOn w:val="BodyText"/>
    <w:rsid w:val="00AE599B"/>
    <w:rPr>
      <w:sz w:val="18"/>
    </w:rPr>
  </w:style>
  <w:style w:type="paragraph" w:customStyle="1" w:styleId="BodySmallRight">
    <w:name w:val="Body Small Right"/>
    <w:basedOn w:val="BodyTextRight"/>
    <w:rsid w:val="00AE599B"/>
    <w:rPr>
      <w:sz w:val="18"/>
      <w:szCs w:val="18"/>
    </w:rPr>
  </w:style>
  <w:style w:type="paragraph" w:customStyle="1" w:styleId="MarginEdition">
    <w:name w:val="Margin Edition"/>
    <w:basedOn w:val="MarginNote"/>
    <w:rsid w:val="00AE599B"/>
    <w:pPr>
      <w:spacing w:before="0" w:after="0"/>
    </w:pPr>
    <w:rPr>
      <w:rFonts w:ascii="Times New Roman" w:hAnsi="Times New Roman"/>
      <w:color w:val="999999"/>
    </w:rPr>
  </w:style>
  <w:style w:type="paragraph" w:customStyle="1" w:styleId="Spacer">
    <w:name w:val="Spacer"/>
    <w:basedOn w:val="Normal"/>
    <w:rsid w:val="00AE599B"/>
    <w:rPr>
      <w:sz w:val="2"/>
      <w:szCs w:val="2"/>
    </w:rPr>
  </w:style>
  <w:style w:type="character" w:customStyle="1" w:styleId="Small">
    <w:name w:val="Small"/>
    <w:basedOn w:val="DefaultParagraphFont"/>
    <w:rsid w:val="00AE599B"/>
    <w:rPr>
      <w:sz w:val="16"/>
    </w:rPr>
  </w:style>
  <w:style w:type="paragraph" w:customStyle="1" w:styleId="WideTable">
    <w:name w:val="Wide Table"/>
    <w:basedOn w:val="Normal"/>
    <w:rsid w:val="00AE599B"/>
    <w:pPr>
      <w:ind w:left="-1418"/>
    </w:pPr>
    <w:rPr>
      <w:sz w:val="2"/>
      <w:szCs w:val="2"/>
    </w:rPr>
  </w:style>
  <w:style w:type="character" w:styleId="PageNumber">
    <w:name w:val="page number"/>
    <w:basedOn w:val="DefaultParagraphFont"/>
    <w:rsid w:val="00AE599B"/>
  </w:style>
  <w:style w:type="paragraph" w:styleId="Quote">
    <w:name w:val="Quote"/>
    <w:basedOn w:val="Heading1"/>
    <w:link w:val="QuoteChar"/>
    <w:qFormat/>
    <w:rsid w:val="00AE599B"/>
    <w:rPr>
      <w:b w:val="0"/>
      <w:sz w:val="72"/>
      <w:szCs w:val="72"/>
      <w:lang w:val="en-NZ"/>
    </w:rPr>
  </w:style>
  <w:style w:type="character" w:customStyle="1" w:styleId="QuoteChar">
    <w:name w:val="Quote Char"/>
    <w:basedOn w:val="DefaultParagraphFont"/>
    <w:link w:val="Quote"/>
    <w:rsid w:val="00AE5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99B"/>
    <w:pPr>
      <w:pageBreakBefore/>
    </w:pPr>
  </w:style>
  <w:style w:type="paragraph" w:customStyle="1" w:styleId="Border">
    <w:name w:val="Border"/>
    <w:basedOn w:val="Normal"/>
    <w:qFormat/>
    <w:rsid w:val="00AE5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99B"/>
    <w:rPr>
      <w:b/>
      <w:bCs/>
      <w:i/>
      <w:iCs/>
      <w:color w:val="auto"/>
    </w:rPr>
  </w:style>
  <w:style w:type="paragraph" w:styleId="IntenseQuote">
    <w:name w:val="Intense Quote"/>
    <w:basedOn w:val="Normal"/>
    <w:next w:val="Normal"/>
    <w:link w:val="IntenseQuoteChar"/>
    <w:uiPriority w:val="30"/>
    <w:qFormat/>
    <w:rsid w:val="00AE5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99B"/>
    <w:rPr>
      <w:smallCaps/>
      <w:color w:val="auto"/>
      <w:u w:val="single"/>
    </w:rPr>
  </w:style>
  <w:style w:type="character" w:styleId="IntenseReference">
    <w:name w:val="Intense Reference"/>
    <w:basedOn w:val="DefaultParagraphFont"/>
    <w:uiPriority w:val="32"/>
    <w:qFormat/>
    <w:rsid w:val="00AE599B"/>
    <w:rPr>
      <w:b/>
      <w:bCs/>
      <w:smallCaps/>
      <w:color w:val="auto"/>
      <w:spacing w:val="5"/>
      <w:u w:val="single"/>
    </w:rPr>
  </w:style>
  <w:style w:type="paragraph" w:customStyle="1" w:styleId="2ColumnHeading">
    <w:name w:val="2Column Heading"/>
    <w:basedOn w:val="BodyText"/>
    <w:qFormat/>
    <w:rsid w:val="00AE599B"/>
    <w:pPr>
      <w:spacing w:after="60"/>
      <w:ind w:left="-2268"/>
    </w:pPr>
    <w:rPr>
      <w:b/>
    </w:rPr>
  </w:style>
  <w:style w:type="paragraph" w:customStyle="1" w:styleId="Heading1TOC">
    <w:name w:val="Heading1 TOC"/>
    <w:basedOn w:val="Normal"/>
    <w:qFormat/>
    <w:rsid w:val="00AE599B"/>
    <w:pPr>
      <w:spacing w:before="240" w:after="120"/>
    </w:pPr>
    <w:rPr>
      <w:rFonts w:ascii="Times New Roman" w:hAnsi="Times New Roman"/>
      <w:b/>
      <w:sz w:val="32"/>
    </w:rPr>
  </w:style>
  <w:style w:type="paragraph" w:customStyle="1" w:styleId="Heading2TOC">
    <w:name w:val="Heading2 TOC"/>
    <w:basedOn w:val="Normal"/>
    <w:qFormat/>
    <w:rsid w:val="00AE599B"/>
    <w:pPr>
      <w:spacing w:before="240" w:after="60"/>
    </w:pPr>
    <w:rPr>
      <w:rFonts w:ascii="Times New Roman" w:hAnsi="Times New Roman"/>
      <w:b/>
      <w:sz w:val="28"/>
    </w:rPr>
  </w:style>
  <w:style w:type="character" w:customStyle="1" w:styleId="Underline">
    <w:name w:val="Underline"/>
    <w:basedOn w:val="DefaultParagraphFont"/>
    <w:qFormat/>
    <w:rsid w:val="00AE599B"/>
    <w:rPr>
      <w:u w:val="single"/>
    </w:rPr>
  </w:style>
  <w:style w:type="character" w:customStyle="1" w:styleId="BoldandItalics">
    <w:name w:val="Bold and Italics"/>
    <w:qFormat/>
    <w:rsid w:val="00AE599B"/>
    <w:rPr>
      <w:b/>
      <w:i/>
      <w:u w:val="none"/>
    </w:rPr>
  </w:style>
  <w:style w:type="paragraph" w:styleId="BalloonText">
    <w:name w:val="Balloon Text"/>
    <w:basedOn w:val="Normal"/>
    <w:link w:val="BalloonTextChar"/>
    <w:rsid w:val="00AE599B"/>
    <w:rPr>
      <w:rFonts w:ascii="Tahoma" w:hAnsi="Tahoma" w:cs="Tahoma"/>
      <w:sz w:val="16"/>
      <w:szCs w:val="16"/>
    </w:rPr>
  </w:style>
  <w:style w:type="character" w:customStyle="1" w:styleId="BalloonTextChar">
    <w:name w:val="Balloon Text Char"/>
    <w:basedOn w:val="DefaultParagraphFont"/>
    <w:link w:val="BalloonText"/>
    <w:rsid w:val="00AE5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9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99B"/>
    <w:rPr>
      <w:b/>
      <w:color w:val="660033"/>
      <w:spacing w:val="0"/>
    </w:rPr>
  </w:style>
  <w:style w:type="paragraph" w:customStyle="1" w:styleId="Nameditemlist">
    <w:name w:val="Named item list"/>
    <w:basedOn w:val="BodyText"/>
    <w:qFormat/>
    <w:rsid w:val="00AE59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5753</Characters>
  <Application>Microsoft Office Word</Application>
  <DocSecurity>0</DocSecurity>
  <Lines>260</Lines>
  <Paragraphs>142</Paragraphs>
  <ScaleCrop>false</ScaleCrop>
  <Company>Author-it Software Corporation Ltd.</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MSFKB4001 Determine spatial planning considerations for kitchen design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2016-12-09T03:45:00Z</dcterms:created>
  <dcterms:modified xsi:type="dcterms:W3CDTF">2016-12-09T03:45:00Z</dcterms:modified>
</cp:coreProperties>
</file>