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235C" w:rsidP="0054235C">
      <w:pPr>
        <w:pStyle w:val="Title"/>
      </w:pPr>
      <w:r>
        <w:fldChar w:fldCharType="begin"/>
      </w:r>
      <w:r>
        <w:instrText xml:space="preserve"> TITLE   \* MERGEFORMAT </w:instrText>
      </w:r>
      <w:r>
        <w:fldChar w:fldCharType="separate"/>
      </w:r>
      <w:r>
        <w:t>MSFKB4001 Determine spatial planning considerations for kitchen design</w:t>
      </w:r>
      <w:r>
        <w:fldChar w:fldCharType="end"/>
      </w:r>
    </w:p>
    <w:p w:rsidR="0054235C" w:rsidP="0054235C">
      <w:pPr>
        <w:pStyle w:val="Version"/>
        <w:sectPr w:rsidSect="00FD2B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2B5F" w:rsidP="00FD2B5F">
      <w:pPr>
        <w:pStyle w:val="SuperHeading"/>
      </w:pPr>
      <w:r w:rsidRPr="00FD2B5F">
        <w:t>MSFKB4001 Determine spatial planning considerations for kitchen design</w:t>
      </w:r>
    </w:p>
    <w:p w:rsidR="00000000" w:rsidRPr="00FD2B5F" w:rsidP="00FD2B5F">
      <w:pPr>
        <w:pStyle w:val="Heading1"/>
      </w:pPr>
      <w:bookmarkStart w:id="1" w:name="O_627179"/>
      <w:bookmarkEnd w:id="1"/>
      <w:r w:rsidRPr="00FD2B5F">
        <w:t>Modification History</w:t>
      </w:r>
    </w:p>
    <w:p w:rsidR="00000000" w:rsidRPr="00FD2B5F" w:rsidP="0054235C">
      <w:pPr>
        <w:pStyle w:val="BodyText"/>
      </w:pPr>
      <w:r w:rsidRPr="00FD2B5F">
        <w:t>Release 1 - New unit of competency</w:t>
      </w:r>
    </w:p>
    <w:p w:rsidR="00000000" w:rsidRPr="00FD2B5F" w:rsidP="00FD2B5F">
      <w:pPr>
        <w:pStyle w:val="Heading1"/>
      </w:pPr>
      <w:bookmarkStart w:id="2" w:name="O_627187"/>
      <w:bookmarkEnd w:id="2"/>
      <w:r w:rsidRPr="00FD2B5F">
        <w:t>Application</w:t>
      </w:r>
    </w:p>
    <w:p w:rsidR="00000000" w:rsidRPr="00FD2B5F" w:rsidP="0054235C">
      <w:pPr>
        <w:pStyle w:val="BodyText"/>
      </w:pPr>
      <w:r w:rsidRPr="00FD2B5F">
        <w:t>This unit of competency covers examining space requirements and usage patterns</w:t>
      </w:r>
      <w:r w:rsidRPr="00FD2B5F">
        <w:t xml:space="preserve"> for kitchens and determining planning considerations for designs. </w:t>
      </w:r>
    </w:p>
    <w:p w:rsidR="00000000" w:rsidRPr="00FD2B5F" w:rsidP="0054235C">
      <w:pPr>
        <w:pStyle w:val="BodyText"/>
      </w:pPr>
      <w:r w:rsidRPr="00FD2B5F">
        <w:t>Licensing, legislative or certification requirements may apply to this unit and relevant state/territory and local government agencies should be consulted to determine any necessary certi</w:t>
      </w:r>
      <w:r w:rsidRPr="00FD2B5F">
        <w:t xml:space="preserve">fication or licensing for undertaking kitchen and bathroom work. Access to construction sites requires certification of general induction training specified by the </w:t>
      </w:r>
      <w:r w:rsidRPr="00FD2B5F">
        <w:rPr>
          <w:rStyle w:val="Emphasis"/>
        </w:rPr>
        <w:t>National Code of Practice for Induction for Construction Work</w:t>
      </w:r>
      <w:r w:rsidRPr="00FD2B5F">
        <w:t xml:space="preserve"> (ASCC 2007).</w:t>
      </w:r>
    </w:p>
    <w:p w:rsidR="00000000" w:rsidRPr="00FD2B5F" w:rsidP="00FD2B5F">
      <w:pPr>
        <w:pStyle w:val="Heading1"/>
      </w:pPr>
      <w:bookmarkStart w:id="3" w:name="O_627186"/>
      <w:bookmarkEnd w:id="3"/>
      <w:r w:rsidRPr="00FD2B5F">
        <w:t>Pre-requisite Unit</w:t>
      </w:r>
    </w:p>
    <w:p w:rsidR="00000000" w:rsidRPr="00FD2B5F" w:rsidP="00FD2B5F">
      <w:pPr>
        <w:pStyle w:val="Heading1"/>
      </w:pPr>
      <w:bookmarkStart w:id="4" w:name="O_627185"/>
      <w:bookmarkEnd w:id="4"/>
      <w:r w:rsidRPr="00FD2B5F">
        <w:t>Competency Field</w:t>
      </w:r>
    </w:p>
    <w:p w:rsidR="00000000" w:rsidRPr="00FD2B5F" w:rsidP="00FD2B5F">
      <w:pPr>
        <w:pStyle w:val="Heading1"/>
      </w:pPr>
      <w:bookmarkStart w:id="5" w:name="O_627184"/>
      <w:bookmarkEnd w:id="5"/>
      <w:r w:rsidRPr="00FD2B5F">
        <w:t>Unit Sector</w:t>
      </w:r>
    </w:p>
    <w:p w:rsidR="00000000" w:rsidRPr="00FD2B5F" w:rsidP="0054235C">
      <w:pPr>
        <w:pStyle w:val="BodyText"/>
      </w:pPr>
      <w:r w:rsidRPr="00FD2B5F">
        <w:t>Kitchens and Bathrooms</w:t>
      </w:r>
    </w:p>
    <w:p w:rsidR="00000000" w:rsidRPr="00FD2B5F" w:rsidP="00FD2B5F">
      <w:pPr>
        <w:pStyle w:val="Heading1"/>
      </w:pPr>
      <w:bookmarkStart w:id="6" w:name="O_627183"/>
      <w:bookmarkEnd w:id="6"/>
      <w:r w:rsidRPr="00FD2B5F">
        <w:t>Elements and Performance Criteria</w:t>
      </w:r>
    </w:p>
    <w:tbl>
      <w:tblPr>
        <w:tblW w:w="9286" w:type="dxa"/>
        <w:tblLayout w:type="fixed"/>
        <w:tblCellMar>
          <w:left w:w="62" w:type="dxa"/>
          <w:right w:w="62" w:type="dxa"/>
        </w:tblCellMar>
        <w:tblLook w:val="0000"/>
      </w:tblPr>
      <w:tblGrid>
        <w:gridCol w:w="524"/>
        <w:gridCol w:w="2235"/>
        <w:gridCol w:w="661"/>
        <w:gridCol w:w="5866"/>
      </w:tblGrid>
      <w:tr w:rsidTr="00FD2B5F">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Performance criteria describe the performance needed to dem</w:t>
            </w:r>
            <w:r w:rsidRPr="00FD2B5F">
              <w:t>onstrate achievement of the element.</w:t>
            </w:r>
          </w:p>
        </w:tc>
      </w:tr>
      <w:tr w:rsidTr="00FD2B5F">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1</w:t>
            </w:r>
          </w:p>
        </w:tc>
        <w:tc>
          <w:tcPr>
            <w:tcW w:w="2235" w:type="dxa"/>
            <w:vMerge w:val="restart"/>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Determine kitchen work and traffic flow patterns</w:t>
            </w:r>
          </w:p>
        </w:tc>
        <w:tc>
          <w:tcPr>
            <w:tcW w:w="661"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1.1</w:t>
            </w:r>
          </w:p>
        </w:tc>
        <w:tc>
          <w:tcPr>
            <w:tcW w:w="5866"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Key work zones for kitchens are identified and prime activities and associated appliances determined</w:t>
            </w:r>
          </w:p>
        </w:tc>
      </w:tr>
      <w:tr w:rsidTr="00FD2B5F">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1.2</w:t>
            </w:r>
          </w:p>
        </w:tc>
        <w:tc>
          <w:tcPr>
            <w:tcW w:w="5866"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Traffic flow patterns and considerations for kitchen space are identified</w:t>
            </w:r>
          </w:p>
        </w:tc>
      </w:tr>
      <w:tr w:rsidTr="00FD2B5F">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1.3</w:t>
            </w:r>
          </w:p>
        </w:tc>
        <w:tc>
          <w:tcPr>
            <w:tcW w:w="5866"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 xml:space="preserve">Work triangle concepts are identified and applied to modern kitchen design </w:t>
            </w:r>
          </w:p>
        </w:tc>
      </w:tr>
      <w:tr w:rsidTr="00FD2B5F">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2</w:t>
            </w:r>
          </w:p>
        </w:tc>
        <w:tc>
          <w:tcPr>
            <w:tcW w:w="2235"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Examine layout options</w:t>
            </w:r>
          </w:p>
        </w:tc>
        <w:tc>
          <w:tcPr>
            <w:tcW w:w="661"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2.1</w:t>
            </w:r>
          </w:p>
        </w:tc>
        <w:tc>
          <w:tcPr>
            <w:tcW w:w="5866"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Location of services is identified and implications for relocation determined</w:t>
            </w:r>
          </w:p>
        </w:tc>
      </w:tr>
      <w:tr w:rsidTr="00FD2B5F">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2.2</w:t>
            </w:r>
          </w:p>
        </w:tc>
        <w:tc>
          <w:tcPr>
            <w:tcW w:w="5866"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Range of layout options and work and traffic flow implications are examined</w:t>
            </w:r>
          </w:p>
        </w:tc>
      </w:tr>
      <w:tr w:rsidTr="00FD2B5F">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2.3</w:t>
            </w:r>
          </w:p>
        </w:tc>
        <w:tc>
          <w:tcPr>
            <w:tcW w:w="5866"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Suitability of layout options for kitchen space are analysed and limitations and benefits determined</w:t>
            </w:r>
          </w:p>
        </w:tc>
      </w:tr>
      <w:tr w:rsidTr="00FD2B5F">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3</w:t>
            </w:r>
          </w:p>
        </w:tc>
        <w:tc>
          <w:tcPr>
            <w:tcW w:w="2235"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Determine storage options</w:t>
            </w:r>
          </w:p>
        </w:tc>
        <w:tc>
          <w:tcPr>
            <w:tcW w:w="661"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3.1</w:t>
            </w:r>
          </w:p>
        </w:tc>
        <w:tc>
          <w:tcPr>
            <w:tcW w:w="5866"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Storage requirements of kitchen work zones are identified</w:t>
            </w:r>
          </w:p>
        </w:tc>
      </w:tr>
      <w:tr w:rsidTr="00FD2B5F">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3.2</w:t>
            </w:r>
          </w:p>
        </w:tc>
        <w:tc>
          <w:tcPr>
            <w:tcW w:w="5866"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Storage options are examined for suitability to kitchen s</w:t>
            </w:r>
            <w:r w:rsidRPr="00FD2B5F">
              <w:t xml:space="preserve">paces and implications for design determined </w:t>
            </w:r>
          </w:p>
        </w:tc>
      </w:tr>
      <w:tr w:rsidTr="00FD2B5F">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3.3</w:t>
            </w:r>
          </w:p>
        </w:tc>
        <w:tc>
          <w:tcPr>
            <w:tcW w:w="5866"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 xml:space="preserve">Dimensions and space requirements of standard storage options are identified for design </w:t>
            </w:r>
          </w:p>
        </w:tc>
      </w:tr>
      <w:tr w:rsidTr="00FD2B5F">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4</w:t>
            </w:r>
          </w:p>
        </w:tc>
        <w:tc>
          <w:tcPr>
            <w:tcW w:w="2235" w:type="dxa"/>
            <w:vMerge w:val="restart"/>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Assess kitchen ergonomic considerations</w:t>
            </w:r>
          </w:p>
        </w:tc>
        <w:tc>
          <w:tcPr>
            <w:tcW w:w="661"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4.1</w:t>
            </w:r>
          </w:p>
        </w:tc>
        <w:tc>
          <w:tcPr>
            <w:tcW w:w="5866"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 xml:space="preserve">Basic principles of ergonomics are used to determine space planning implications </w:t>
            </w:r>
          </w:p>
        </w:tc>
      </w:tr>
      <w:tr w:rsidTr="00FD2B5F">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4.2</w:t>
            </w:r>
          </w:p>
        </w:tc>
        <w:tc>
          <w:tcPr>
            <w:tcW w:w="5866"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Requirements for working height are identified</w:t>
            </w:r>
          </w:p>
        </w:tc>
      </w:tr>
      <w:tr w:rsidTr="00FD2B5F">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4.3</w:t>
            </w:r>
          </w:p>
        </w:tc>
        <w:tc>
          <w:tcPr>
            <w:tcW w:w="5866"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Manual handling considerations for kitchen design are identified</w:t>
            </w:r>
          </w:p>
        </w:tc>
      </w:tr>
      <w:tr w:rsidTr="00FD2B5F">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4.4</w:t>
            </w:r>
          </w:p>
        </w:tc>
        <w:tc>
          <w:tcPr>
            <w:tcW w:w="5866"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Storage principles are considered to determine implications for design</w:t>
            </w:r>
          </w:p>
        </w:tc>
      </w:tr>
      <w:tr w:rsidTr="00FD2B5F">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4.5</w:t>
            </w:r>
          </w:p>
        </w:tc>
        <w:tc>
          <w:tcPr>
            <w:tcW w:w="5866"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Special considerations for children, older people and/or disabled people are taken into account, where applicable</w:t>
            </w:r>
          </w:p>
        </w:tc>
      </w:tr>
      <w:tr w:rsidTr="00FD2B5F">
        <w:tblPrEx>
          <w:tblW w:w="9286" w:type="dxa"/>
          <w:tblLayout w:type="fixed"/>
          <w:tblCellMar>
            <w:left w:w="62" w:type="dxa"/>
            <w:right w:w="62" w:type="dxa"/>
          </w:tblCellMar>
          <w:tblLook w:val="0000"/>
        </w:tblPrEx>
        <w:trPr>
          <w:trHeight w:val="80"/>
        </w:trPr>
        <w:tc>
          <w:tcPr>
            <w:tcW w:w="524"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5</w:t>
            </w:r>
          </w:p>
        </w:tc>
        <w:tc>
          <w:tcPr>
            <w:tcW w:w="2235"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Examine requirements for kitchen appliances</w:t>
            </w:r>
          </w:p>
        </w:tc>
        <w:tc>
          <w:tcPr>
            <w:tcW w:w="661"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5.1</w:t>
            </w:r>
          </w:p>
        </w:tc>
        <w:tc>
          <w:tcPr>
            <w:tcW w:w="5866"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Key appliance</w:t>
            </w:r>
            <w:r w:rsidRPr="00FD2B5F">
              <w:t>s used in kitchens are identified and standard dimensions, clearances and required services determined</w:t>
            </w:r>
          </w:p>
        </w:tc>
      </w:tr>
      <w:tr w:rsidTr="00FD2B5F">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5.2</w:t>
            </w:r>
          </w:p>
        </w:tc>
        <w:tc>
          <w:tcPr>
            <w:tcW w:w="5866"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Manufacturer guidelines and statutory regulations regarding the pl</w:t>
            </w:r>
            <w:r w:rsidRPr="00FD2B5F">
              <w:t>acement and installation of appliances are identified and implications for design examined</w:t>
            </w:r>
          </w:p>
        </w:tc>
      </w:tr>
      <w:tr w:rsidTr="00FD2B5F">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5.3</w:t>
            </w:r>
          </w:p>
        </w:tc>
        <w:tc>
          <w:tcPr>
            <w:tcW w:w="5866"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Work space implications for appliances are analysed and implications for design determined</w:t>
            </w:r>
          </w:p>
        </w:tc>
      </w:tr>
      <w:tr w:rsidTr="00FD2B5F">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6</w:t>
            </w:r>
          </w:p>
        </w:tc>
        <w:tc>
          <w:tcPr>
            <w:tcW w:w="2235" w:type="dxa"/>
            <w:vMerge w:val="restart"/>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Determine planning considerations for services</w:t>
            </w:r>
          </w:p>
        </w:tc>
        <w:tc>
          <w:tcPr>
            <w:tcW w:w="661"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6.1</w:t>
            </w:r>
          </w:p>
        </w:tc>
        <w:tc>
          <w:tcPr>
            <w:tcW w:w="5866"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Regulations r</w:t>
            </w:r>
            <w:r w:rsidRPr="00FD2B5F">
              <w:t>egarding the location of power outlets, lighting and electrical work undertaken are identified</w:t>
            </w:r>
          </w:p>
        </w:tc>
      </w:tr>
      <w:tr w:rsidTr="00FD2B5F">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6.2</w:t>
            </w:r>
          </w:p>
        </w:tc>
        <w:tc>
          <w:tcPr>
            <w:tcW w:w="5866"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Regulations regarding the location of plumbing outlets and plumbing work undertaken are identified</w:t>
            </w:r>
          </w:p>
        </w:tc>
      </w:tr>
      <w:tr w:rsidTr="00FD2B5F">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6.3</w:t>
            </w:r>
          </w:p>
        </w:tc>
        <w:tc>
          <w:tcPr>
            <w:tcW w:w="5866"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Regulations regarding the loc</w:t>
            </w:r>
            <w:r w:rsidRPr="00FD2B5F">
              <w:t>ation of gas outlets and gas plumbing work undertaken are identified</w:t>
            </w:r>
          </w:p>
        </w:tc>
      </w:tr>
      <w:tr w:rsidTr="00FD2B5F">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6.4</w:t>
            </w:r>
          </w:p>
        </w:tc>
        <w:tc>
          <w:tcPr>
            <w:tcW w:w="5866"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Implications of service requirements on kitchen design are determined</w:t>
            </w:r>
          </w:p>
        </w:tc>
      </w:tr>
      <w:tr w:rsidTr="00FD2B5F">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6.5</w:t>
            </w:r>
          </w:p>
        </w:tc>
        <w:tc>
          <w:tcPr>
            <w:tcW w:w="5866" w:type="dxa"/>
            <w:tcBorders>
              <w:top w:val="nil"/>
              <w:left w:val="nil"/>
              <w:bottom w:val="nil"/>
              <w:right w:val="nil"/>
            </w:tcBorders>
            <w:tcMar>
              <w:top w:w="0" w:type="dxa"/>
              <w:left w:w="62" w:type="dxa"/>
              <w:bottom w:w="0" w:type="dxa"/>
              <w:right w:w="62" w:type="dxa"/>
            </w:tcMar>
          </w:tcPr>
          <w:p w:rsidR="00000000" w:rsidRPr="00FD2B5F" w:rsidP="00FD2B5F">
            <w:pPr>
              <w:pStyle w:val="BodyText"/>
            </w:pPr>
            <w:r w:rsidRPr="00FD2B5F">
              <w:t>Lighting sources are examined and requirements for kitchen design determined</w:t>
            </w:r>
          </w:p>
        </w:tc>
      </w:tr>
    </w:tbl>
    <w:p w:rsidR="00000000" w:rsidRPr="00FD2B5F" w:rsidP="00FD2B5F">
      <w:pPr>
        <w:pStyle w:val="BodyText"/>
      </w:pPr>
    </w:p>
    <w:p w:rsidR="00000000" w:rsidRPr="00FD2B5F" w:rsidP="00FD2B5F">
      <w:pPr>
        <w:pStyle w:val="AllowPageBreak"/>
      </w:pPr>
    </w:p>
    <w:p w:rsidR="00000000" w:rsidRPr="00FD2B5F" w:rsidP="00FD2B5F">
      <w:pPr>
        <w:pStyle w:val="Heading1"/>
      </w:pPr>
      <w:bookmarkStart w:id="7" w:name="O_627182"/>
      <w:bookmarkEnd w:id="7"/>
      <w:r w:rsidRPr="00FD2B5F">
        <w:t>Foundation Skills</w:t>
      </w:r>
    </w:p>
    <w:p w:rsidR="00000000" w:rsidRPr="00FD2B5F" w:rsidP="0054235C">
      <w:pPr>
        <w:pStyle w:val="BodyText"/>
      </w:pPr>
      <w:r w:rsidRPr="00FD2B5F">
        <w:t>Foundation skills essential to performance are explicit in the performance criteria of this unit of competency. Detail on appropriate performance levels for each furnishing unit of competency in reading, writing, oral communication and nu</w:t>
      </w:r>
      <w:r w:rsidRPr="00FD2B5F">
        <w:t>meracy utilising the Australian Core Skills Framework (ACSF) are provided in the Furnishing Training Package Implementation Guide.</w:t>
      </w:r>
    </w:p>
    <w:p w:rsidR="00000000" w:rsidRPr="00FD2B5F" w:rsidP="00FD2B5F">
      <w:pPr>
        <w:pStyle w:val="Heading1"/>
      </w:pPr>
      <w:bookmarkStart w:id="8" w:name="O_627181"/>
      <w:bookmarkEnd w:id="8"/>
      <w:r w:rsidRPr="00FD2B5F">
        <w:t>Range of Conditions</w:t>
      </w:r>
    </w:p>
    <w:tbl>
      <w:tblPr>
        <w:tblW w:w="0" w:type="auto"/>
        <w:tblLayout w:type="fixed"/>
        <w:tblCellMar>
          <w:left w:w="62" w:type="dxa"/>
          <w:right w:w="62" w:type="dxa"/>
        </w:tblCellMar>
        <w:tblLook w:val="0000"/>
      </w:tblPr>
      <w:tblGrid>
        <w:gridCol w:w="2760"/>
        <w:gridCol w:w="6312"/>
      </w:tblGrid>
      <w:tr w:rsidTr="00FD2B5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t>Specifies different work environments and conditions that may affect performance. Essent</w:t>
            </w:r>
            <w:r w:rsidRPr="00FD2B5F">
              <w:t>ial operating conditions that may be present (depending on the work situation, needs of the candidate, accessibility of the item, and local industry and regional contexts) are included. Range is restricted to essential operating conditions and any other va</w:t>
            </w:r>
            <w:r w:rsidRPr="00FD2B5F">
              <w:t>riables essential to the work environment.</w:t>
            </w:r>
          </w:p>
        </w:tc>
      </w:tr>
      <w:tr w:rsidTr="00FD2B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D2B5F" w:rsidP="00FD2B5F">
            <w:pPr>
              <w:pStyle w:val="ListBullet"/>
            </w:pPr>
            <w:r w:rsidRPr="00FD2B5F">
              <w:t>Work health and safety (WHS) requirements, including legislation, building codes, material safety management systems, hazardous and dangerous goods codes, and local safe operating procedu</w:t>
            </w:r>
            <w:r w:rsidRPr="00FD2B5F">
              <w:t xml:space="preserve">res or equivalent </w:t>
            </w:r>
          </w:p>
          <w:p w:rsidR="00000000" w:rsidRPr="00FD2B5F" w:rsidP="00FD2B5F">
            <w:pPr>
              <w:pStyle w:val="ListBullet"/>
            </w:pPr>
            <w:r w:rsidRPr="00FD2B5F">
              <w:t xml:space="preserve">work is carried out in accordance with legislative obligations, environmental legislation, relevant health regulations, manual handling procedures and organisation insurance requirements </w:t>
            </w:r>
          </w:p>
          <w:p w:rsidR="00000000" w:rsidP="00FD2B5F">
            <w:pPr>
              <w:pStyle w:val="ListBullet"/>
              <w:rPr>
                <w:lang w:val="en-NZ"/>
              </w:rPr>
            </w:pPr>
            <w:r w:rsidRPr="00FD2B5F">
              <w:t>work requires individual to demonstrate some discretion, judgement and problem solving in the analysis of design requirements. It includes analysis of appliances, services, regulatory requirements, storage requirements and applications to determine implica</w:t>
            </w:r>
            <w:r w:rsidRPr="00FD2B5F">
              <w:t>tions for kitchen design</w:t>
            </w:r>
          </w:p>
        </w:tc>
      </w:tr>
      <w:tr w:rsidTr="00FD2B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rPr>
                <w:rStyle w:val="SpecialBold"/>
              </w:rPr>
              <w:t>Key work zones for kitchens may include:</w:t>
            </w:r>
          </w:p>
        </w:tc>
        <w:tc>
          <w:tcPr>
            <w:tcW w:w="6312" w:type="dxa"/>
            <w:tcBorders>
              <w:top w:val="nil"/>
              <w:left w:val="nil"/>
              <w:bottom w:val="nil"/>
              <w:right w:val="nil"/>
            </w:tcBorders>
            <w:tcMar>
              <w:top w:w="0" w:type="dxa"/>
              <w:left w:w="62" w:type="dxa"/>
              <w:bottom w:w="0" w:type="dxa"/>
              <w:right w:w="62" w:type="dxa"/>
            </w:tcMar>
          </w:tcPr>
          <w:p w:rsidR="00000000" w:rsidRPr="00FD2B5F" w:rsidP="00FD2B5F">
            <w:pPr>
              <w:pStyle w:val="ListBullet"/>
            </w:pPr>
            <w:r w:rsidRPr="00FD2B5F">
              <w:t>food storage zone</w:t>
            </w:r>
          </w:p>
          <w:p w:rsidR="00000000" w:rsidRPr="00FD2B5F" w:rsidP="00FD2B5F">
            <w:pPr>
              <w:pStyle w:val="ListBullet"/>
            </w:pPr>
            <w:r w:rsidRPr="00FD2B5F">
              <w:t>food preparation zone</w:t>
            </w:r>
          </w:p>
          <w:p w:rsidR="00000000" w:rsidRPr="00FD2B5F" w:rsidP="00FD2B5F">
            <w:pPr>
              <w:pStyle w:val="ListBullet"/>
            </w:pPr>
            <w:r w:rsidRPr="00FD2B5F">
              <w:t>clean-up zone</w:t>
            </w:r>
          </w:p>
          <w:p w:rsidR="00000000" w:rsidRPr="00FD2B5F" w:rsidP="00FD2B5F">
            <w:pPr>
              <w:pStyle w:val="ListBullet"/>
            </w:pPr>
            <w:r w:rsidRPr="00FD2B5F">
              <w:t>bench top clearances</w:t>
            </w:r>
          </w:p>
          <w:p w:rsidR="00000000" w:rsidP="00FD2B5F">
            <w:pPr>
              <w:pStyle w:val="ListBullet"/>
              <w:rPr>
                <w:lang w:val="en-NZ"/>
              </w:rPr>
            </w:pPr>
            <w:r w:rsidRPr="00FD2B5F">
              <w:t>landing space</w:t>
            </w:r>
          </w:p>
        </w:tc>
      </w:tr>
      <w:tr w:rsidTr="00FD2B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rPr>
                <w:rStyle w:val="SpecialBold"/>
              </w:rPr>
              <w:t>Considerations may include:</w:t>
            </w:r>
          </w:p>
        </w:tc>
        <w:tc>
          <w:tcPr>
            <w:tcW w:w="6312" w:type="dxa"/>
            <w:tcBorders>
              <w:top w:val="nil"/>
              <w:left w:val="nil"/>
              <w:bottom w:val="nil"/>
              <w:right w:val="nil"/>
            </w:tcBorders>
            <w:tcMar>
              <w:top w:w="0" w:type="dxa"/>
              <w:left w:w="62" w:type="dxa"/>
              <w:bottom w:w="0" w:type="dxa"/>
              <w:right w:w="62" w:type="dxa"/>
            </w:tcMar>
          </w:tcPr>
          <w:p w:rsidR="00000000" w:rsidRPr="00FD2B5F" w:rsidP="00FD2B5F">
            <w:pPr>
              <w:pStyle w:val="ListBullet"/>
            </w:pPr>
            <w:r w:rsidRPr="00FD2B5F">
              <w:t>floor clearances</w:t>
            </w:r>
          </w:p>
          <w:p w:rsidR="00000000" w:rsidRPr="00FD2B5F" w:rsidP="00FD2B5F">
            <w:pPr>
              <w:pStyle w:val="ListBullet"/>
            </w:pPr>
            <w:r w:rsidRPr="00FD2B5F">
              <w:t>traffic clearances</w:t>
            </w:r>
          </w:p>
          <w:p w:rsidR="00000000" w:rsidRPr="00FD2B5F" w:rsidP="00FD2B5F">
            <w:pPr>
              <w:pStyle w:val="ListBullet"/>
            </w:pPr>
            <w:r w:rsidRPr="00FD2B5F">
              <w:t xml:space="preserve">space requirements for reaching, </w:t>
            </w:r>
            <w:r w:rsidRPr="00FD2B5F">
              <w:t>bending and crouching</w:t>
            </w:r>
          </w:p>
          <w:p w:rsidR="00000000" w:rsidRPr="00FD2B5F" w:rsidP="00FD2B5F">
            <w:pPr>
              <w:pStyle w:val="ListBullet"/>
            </w:pPr>
            <w:r w:rsidRPr="00FD2B5F">
              <w:t>eating space requirements</w:t>
            </w:r>
          </w:p>
          <w:p w:rsidR="00000000" w:rsidRPr="00FD2B5F" w:rsidP="00FD2B5F">
            <w:pPr>
              <w:pStyle w:val="ListBullet"/>
            </w:pPr>
            <w:r w:rsidRPr="00FD2B5F">
              <w:t>additional space requirements for areas such as computers, entertaining and laundry</w:t>
            </w:r>
          </w:p>
          <w:p w:rsidR="00000000" w:rsidP="00FD2B5F">
            <w:pPr>
              <w:pStyle w:val="ListBullet"/>
              <w:rPr>
                <w:lang w:val="en-NZ"/>
              </w:rPr>
            </w:pPr>
            <w:r w:rsidRPr="00FD2B5F">
              <w:t>number and types of users of kitchen</w:t>
            </w:r>
          </w:p>
        </w:tc>
      </w:tr>
      <w:tr w:rsidTr="00FD2B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rPr>
                <w:rStyle w:val="SpecialBold"/>
              </w:rPr>
              <w:t>Range of layout options may include:</w:t>
            </w:r>
          </w:p>
        </w:tc>
        <w:tc>
          <w:tcPr>
            <w:tcW w:w="6312" w:type="dxa"/>
            <w:tcBorders>
              <w:top w:val="nil"/>
              <w:left w:val="nil"/>
              <w:bottom w:val="nil"/>
              <w:right w:val="nil"/>
            </w:tcBorders>
            <w:tcMar>
              <w:top w:w="0" w:type="dxa"/>
              <w:left w:w="62" w:type="dxa"/>
              <w:bottom w:w="0" w:type="dxa"/>
              <w:right w:w="62" w:type="dxa"/>
            </w:tcMar>
          </w:tcPr>
          <w:p w:rsidR="00000000" w:rsidRPr="00FD2B5F" w:rsidP="00FD2B5F">
            <w:pPr>
              <w:pStyle w:val="ListBullet"/>
            </w:pPr>
            <w:r w:rsidRPr="00FD2B5F">
              <w:t>single wall set out</w:t>
            </w:r>
          </w:p>
          <w:p w:rsidR="00000000" w:rsidRPr="00FD2B5F" w:rsidP="00FD2B5F">
            <w:pPr>
              <w:pStyle w:val="ListBullet"/>
            </w:pPr>
            <w:r w:rsidRPr="00FD2B5F">
              <w:t>galley</w:t>
            </w:r>
          </w:p>
          <w:p w:rsidR="00000000" w:rsidRPr="00FD2B5F" w:rsidP="00FD2B5F">
            <w:pPr>
              <w:pStyle w:val="ListBullet"/>
            </w:pPr>
            <w:r w:rsidRPr="00FD2B5F">
              <w:t>L-shape</w:t>
            </w:r>
          </w:p>
          <w:p w:rsidR="00000000" w:rsidRPr="00FD2B5F" w:rsidP="00FD2B5F">
            <w:pPr>
              <w:pStyle w:val="ListBullet"/>
            </w:pPr>
            <w:r w:rsidRPr="00FD2B5F">
              <w:t>U-shape</w:t>
            </w:r>
          </w:p>
          <w:p w:rsidR="00000000" w:rsidP="00FD2B5F">
            <w:pPr>
              <w:pStyle w:val="ListBullet"/>
              <w:rPr>
                <w:lang w:val="en-NZ"/>
              </w:rPr>
            </w:pPr>
            <w:r w:rsidRPr="00FD2B5F">
              <w:t>island</w:t>
            </w:r>
          </w:p>
        </w:tc>
      </w:tr>
      <w:tr w:rsidTr="00FD2B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rPr>
                <w:rStyle w:val="SpecialBold"/>
              </w:rPr>
              <w:t>Storage requirements may include:</w:t>
            </w:r>
          </w:p>
        </w:tc>
        <w:tc>
          <w:tcPr>
            <w:tcW w:w="6312" w:type="dxa"/>
            <w:tcBorders>
              <w:top w:val="nil"/>
              <w:left w:val="nil"/>
              <w:bottom w:val="nil"/>
              <w:right w:val="nil"/>
            </w:tcBorders>
            <w:tcMar>
              <w:top w:w="0" w:type="dxa"/>
              <w:left w:w="62" w:type="dxa"/>
              <w:bottom w:w="0" w:type="dxa"/>
              <w:right w:w="62" w:type="dxa"/>
            </w:tcMar>
          </w:tcPr>
          <w:p w:rsidR="00000000" w:rsidRPr="00FD2B5F" w:rsidP="00FD2B5F">
            <w:pPr>
              <w:pStyle w:val="ListBullet"/>
            </w:pPr>
            <w:r w:rsidRPr="00FD2B5F">
              <w:t>food storage (perishable and non-perishable)</w:t>
            </w:r>
          </w:p>
          <w:p w:rsidR="00000000" w:rsidRPr="00FD2B5F" w:rsidP="00FD2B5F">
            <w:pPr>
              <w:pStyle w:val="ListBullet"/>
            </w:pPr>
            <w:r w:rsidRPr="00FD2B5F">
              <w:t>food preparation (utensils, appliances, cookware, condiments, ovenware and cookbooks)</w:t>
            </w:r>
          </w:p>
          <w:p w:rsidR="00000000" w:rsidRPr="00FD2B5F" w:rsidP="00FD2B5F">
            <w:pPr>
              <w:pStyle w:val="ListBullet"/>
            </w:pPr>
            <w:r w:rsidRPr="00FD2B5F">
              <w:t>clean-up (garbage bin, storage containers, cleaning items and products)</w:t>
            </w:r>
          </w:p>
          <w:p w:rsidR="00000000" w:rsidP="00FD2B5F">
            <w:pPr>
              <w:pStyle w:val="ListBullet"/>
              <w:rPr>
                <w:lang w:val="en-NZ"/>
              </w:rPr>
            </w:pPr>
            <w:r w:rsidRPr="00FD2B5F">
              <w:t>additional storage (crockery, glassware, serving platters and small appliances)</w:t>
            </w:r>
          </w:p>
        </w:tc>
      </w:tr>
      <w:tr w:rsidTr="00FD2B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rPr>
                <w:rStyle w:val="SpecialBold"/>
              </w:rPr>
              <w:t>Storage options may include:</w:t>
            </w:r>
          </w:p>
        </w:tc>
        <w:tc>
          <w:tcPr>
            <w:tcW w:w="6312" w:type="dxa"/>
            <w:tcBorders>
              <w:top w:val="nil"/>
              <w:left w:val="nil"/>
              <w:bottom w:val="nil"/>
              <w:right w:val="nil"/>
            </w:tcBorders>
            <w:tcMar>
              <w:top w:w="0" w:type="dxa"/>
              <w:left w:w="62" w:type="dxa"/>
              <w:bottom w:w="0" w:type="dxa"/>
              <w:right w:w="62" w:type="dxa"/>
            </w:tcMar>
          </w:tcPr>
          <w:p w:rsidR="00000000" w:rsidRPr="00FD2B5F" w:rsidP="00FD2B5F">
            <w:pPr>
              <w:pStyle w:val="ListBullet"/>
            </w:pPr>
            <w:r w:rsidRPr="00FD2B5F">
              <w:t>cupboards and drawers</w:t>
            </w:r>
          </w:p>
          <w:p w:rsidR="00000000" w:rsidRPr="00FD2B5F" w:rsidP="00FD2B5F">
            <w:pPr>
              <w:pStyle w:val="ListBullet"/>
            </w:pPr>
            <w:r w:rsidRPr="00FD2B5F">
              <w:t>wire shelving</w:t>
            </w:r>
          </w:p>
          <w:p w:rsidR="00000000" w:rsidRPr="00FD2B5F" w:rsidP="00FD2B5F">
            <w:pPr>
              <w:pStyle w:val="ListBullet"/>
            </w:pPr>
            <w:r w:rsidRPr="00FD2B5F">
              <w:t>baskets</w:t>
            </w:r>
          </w:p>
          <w:p w:rsidR="00000000" w:rsidRPr="00FD2B5F" w:rsidP="00FD2B5F">
            <w:pPr>
              <w:pStyle w:val="ListBullet"/>
            </w:pPr>
            <w:r w:rsidRPr="00FD2B5F">
              <w:t>mobile storage unit</w:t>
            </w:r>
          </w:p>
          <w:p w:rsidR="00000000" w:rsidRPr="00FD2B5F" w:rsidP="00FD2B5F">
            <w:pPr>
              <w:pStyle w:val="ListBullet"/>
            </w:pPr>
            <w:r w:rsidRPr="00FD2B5F">
              <w:t>railing</w:t>
            </w:r>
          </w:p>
          <w:p w:rsidR="00000000" w:rsidRPr="00FD2B5F" w:rsidP="00FD2B5F">
            <w:pPr>
              <w:pStyle w:val="ListBullet"/>
            </w:pPr>
            <w:r w:rsidRPr="00FD2B5F">
              <w:t>shelves</w:t>
            </w:r>
          </w:p>
          <w:p w:rsidR="00000000" w:rsidRPr="00FD2B5F" w:rsidP="00FD2B5F">
            <w:pPr>
              <w:pStyle w:val="ListBullet"/>
            </w:pPr>
            <w:r w:rsidRPr="00FD2B5F">
              <w:t>pantry</w:t>
            </w:r>
          </w:p>
          <w:p w:rsidR="00000000" w:rsidRPr="00FD2B5F" w:rsidP="00FD2B5F">
            <w:pPr>
              <w:pStyle w:val="ListBullet"/>
            </w:pPr>
            <w:r w:rsidRPr="00FD2B5F">
              <w:t xml:space="preserve">swing out cupboards </w:t>
            </w:r>
          </w:p>
          <w:p w:rsidR="00000000" w:rsidRPr="00FD2B5F" w:rsidP="00FD2B5F">
            <w:pPr>
              <w:pStyle w:val="ListBullet"/>
            </w:pPr>
            <w:r w:rsidRPr="00FD2B5F">
              <w:t>extension worktops</w:t>
            </w:r>
          </w:p>
          <w:p w:rsidR="00000000" w:rsidRPr="00FD2B5F" w:rsidP="00FD2B5F">
            <w:pPr>
              <w:pStyle w:val="ListBullet"/>
            </w:pPr>
            <w:r w:rsidRPr="00FD2B5F">
              <w:t>base cupboards</w:t>
            </w:r>
          </w:p>
          <w:p w:rsidR="00000000" w:rsidP="00FD2B5F">
            <w:pPr>
              <w:pStyle w:val="ListBullet"/>
              <w:rPr>
                <w:lang w:val="en-NZ"/>
              </w:rPr>
            </w:pPr>
            <w:r w:rsidRPr="00FD2B5F">
              <w:t>overhead cupboards</w:t>
            </w:r>
          </w:p>
        </w:tc>
      </w:tr>
      <w:tr w:rsidTr="00FD2B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rPr>
                <w:rStyle w:val="SpecialBold"/>
              </w:rPr>
              <w:t>Basic principles of ergonomics include:</w:t>
            </w:r>
          </w:p>
        </w:tc>
        <w:tc>
          <w:tcPr>
            <w:tcW w:w="6312" w:type="dxa"/>
            <w:tcBorders>
              <w:top w:val="nil"/>
              <w:left w:val="nil"/>
              <w:bottom w:val="nil"/>
              <w:right w:val="nil"/>
            </w:tcBorders>
            <w:tcMar>
              <w:top w:w="0" w:type="dxa"/>
              <w:left w:w="62" w:type="dxa"/>
              <w:bottom w:w="0" w:type="dxa"/>
              <w:right w:w="62" w:type="dxa"/>
            </w:tcMar>
          </w:tcPr>
          <w:p w:rsidR="00000000" w:rsidRPr="00FD2B5F" w:rsidP="00FD2B5F">
            <w:pPr>
              <w:pStyle w:val="ListBullet"/>
            </w:pPr>
            <w:r w:rsidRPr="00FD2B5F">
              <w:t>clearance (minimum spatial tolerances for access)</w:t>
            </w:r>
          </w:p>
          <w:p w:rsidR="00000000" w:rsidP="00FD2B5F">
            <w:pPr>
              <w:pStyle w:val="ListBullet"/>
              <w:rPr>
                <w:lang w:val="en-NZ"/>
              </w:rPr>
            </w:pPr>
            <w:r w:rsidRPr="00FD2B5F">
              <w:t>reach (maximum spatial tolerances and workspace envelope)</w:t>
            </w:r>
          </w:p>
        </w:tc>
      </w:tr>
      <w:tr w:rsidTr="00FD2B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rPr>
                <w:rStyle w:val="SpecialBold"/>
              </w:rPr>
              <w:t>Storage principles may include:</w:t>
            </w:r>
          </w:p>
        </w:tc>
        <w:tc>
          <w:tcPr>
            <w:tcW w:w="6312" w:type="dxa"/>
            <w:tcBorders>
              <w:top w:val="nil"/>
              <w:left w:val="nil"/>
              <w:bottom w:val="nil"/>
              <w:right w:val="nil"/>
            </w:tcBorders>
            <w:tcMar>
              <w:top w:w="0" w:type="dxa"/>
              <w:left w:w="62" w:type="dxa"/>
              <w:bottom w:w="0" w:type="dxa"/>
              <w:right w:w="62" w:type="dxa"/>
            </w:tcMar>
          </w:tcPr>
          <w:p w:rsidR="00000000" w:rsidRPr="00FD2B5F" w:rsidP="00FD2B5F">
            <w:pPr>
              <w:pStyle w:val="ListBullet"/>
            </w:pPr>
            <w:r w:rsidRPr="00FD2B5F">
              <w:t>importance of items</w:t>
            </w:r>
          </w:p>
          <w:p w:rsidR="00000000" w:rsidRPr="00FD2B5F" w:rsidP="00FD2B5F">
            <w:pPr>
              <w:pStyle w:val="ListBullet"/>
            </w:pPr>
            <w:r w:rsidRPr="00FD2B5F">
              <w:t>frequency of use</w:t>
            </w:r>
          </w:p>
          <w:p w:rsidR="00000000" w:rsidRPr="00FD2B5F" w:rsidP="00FD2B5F">
            <w:pPr>
              <w:pStyle w:val="ListBullet"/>
            </w:pPr>
            <w:r w:rsidRPr="00FD2B5F">
              <w:t>function</w:t>
            </w:r>
          </w:p>
          <w:p w:rsidR="00000000" w:rsidP="00FD2B5F">
            <w:pPr>
              <w:pStyle w:val="ListBullet"/>
              <w:rPr>
                <w:lang w:val="en-NZ"/>
              </w:rPr>
            </w:pPr>
            <w:r w:rsidRPr="00FD2B5F">
              <w:t>sequenc</w:t>
            </w:r>
            <w:r w:rsidRPr="00FD2B5F">
              <w:t>e of use</w:t>
            </w:r>
          </w:p>
        </w:tc>
      </w:tr>
      <w:tr w:rsidTr="00FD2B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rPr>
                <w:rStyle w:val="SpecialBold"/>
              </w:rPr>
              <w:t>Key appliances may include:</w:t>
            </w:r>
          </w:p>
        </w:tc>
        <w:tc>
          <w:tcPr>
            <w:tcW w:w="6312" w:type="dxa"/>
            <w:tcBorders>
              <w:top w:val="nil"/>
              <w:left w:val="nil"/>
              <w:bottom w:val="nil"/>
              <w:right w:val="nil"/>
            </w:tcBorders>
            <w:tcMar>
              <w:top w:w="0" w:type="dxa"/>
              <w:left w:w="62" w:type="dxa"/>
              <w:bottom w:w="0" w:type="dxa"/>
              <w:right w:w="62" w:type="dxa"/>
            </w:tcMar>
          </w:tcPr>
          <w:p w:rsidR="00000000" w:rsidRPr="00FD2B5F" w:rsidP="00FD2B5F">
            <w:pPr>
              <w:pStyle w:val="ListBullet"/>
            </w:pPr>
            <w:r w:rsidRPr="00FD2B5F">
              <w:t>cook top</w:t>
            </w:r>
          </w:p>
          <w:p w:rsidR="00000000" w:rsidRPr="00FD2B5F" w:rsidP="00FD2B5F">
            <w:pPr>
              <w:pStyle w:val="ListBullet"/>
            </w:pPr>
            <w:r w:rsidRPr="00FD2B5F">
              <w:t>oven</w:t>
            </w:r>
          </w:p>
          <w:p w:rsidR="00000000" w:rsidRPr="00FD2B5F" w:rsidP="00FD2B5F">
            <w:pPr>
              <w:pStyle w:val="ListBullet"/>
            </w:pPr>
            <w:r w:rsidRPr="00FD2B5F">
              <w:t>freestanding stove</w:t>
            </w:r>
          </w:p>
          <w:p w:rsidR="00000000" w:rsidRPr="00FD2B5F" w:rsidP="00FD2B5F">
            <w:pPr>
              <w:pStyle w:val="ListBullet"/>
            </w:pPr>
            <w:r w:rsidRPr="00FD2B5F">
              <w:t>microwave and convection oven</w:t>
            </w:r>
          </w:p>
          <w:p w:rsidR="00000000" w:rsidRPr="00FD2B5F" w:rsidP="00FD2B5F">
            <w:pPr>
              <w:pStyle w:val="ListBullet"/>
            </w:pPr>
            <w:r w:rsidRPr="00FD2B5F">
              <w:t>exhaust system</w:t>
            </w:r>
          </w:p>
          <w:p w:rsidR="00000000" w:rsidRPr="00FD2B5F" w:rsidP="00FD2B5F">
            <w:pPr>
              <w:pStyle w:val="ListBullet"/>
            </w:pPr>
            <w:r w:rsidRPr="00FD2B5F">
              <w:t>refrigerator</w:t>
            </w:r>
          </w:p>
          <w:p w:rsidR="00000000" w:rsidRPr="00FD2B5F" w:rsidP="00FD2B5F">
            <w:pPr>
              <w:pStyle w:val="ListBullet"/>
            </w:pPr>
            <w:r w:rsidRPr="00FD2B5F">
              <w:t>coffee machine</w:t>
            </w:r>
          </w:p>
          <w:p w:rsidR="00000000" w:rsidRPr="00FD2B5F" w:rsidP="00FD2B5F">
            <w:pPr>
              <w:pStyle w:val="ListBullet"/>
            </w:pPr>
            <w:r w:rsidRPr="00FD2B5F">
              <w:t>sink</w:t>
            </w:r>
          </w:p>
          <w:p w:rsidR="00000000" w:rsidP="00FD2B5F">
            <w:pPr>
              <w:pStyle w:val="ListBullet"/>
              <w:rPr>
                <w:lang w:val="en-NZ"/>
              </w:rPr>
            </w:pPr>
            <w:r w:rsidRPr="00FD2B5F">
              <w:t>dishwasher</w:t>
            </w:r>
          </w:p>
        </w:tc>
      </w:tr>
      <w:tr w:rsidTr="00FD2B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D2B5F">
            <w:pPr>
              <w:pStyle w:val="BodyText"/>
              <w:rPr>
                <w:lang w:val="en-NZ"/>
              </w:rPr>
            </w:pPr>
            <w:r w:rsidRPr="00FD2B5F">
              <w:rPr>
                <w:rStyle w:val="SpecialBold"/>
              </w:rPr>
              <w:t>Lighting sources may include:</w:t>
            </w:r>
          </w:p>
        </w:tc>
        <w:tc>
          <w:tcPr>
            <w:tcW w:w="6312" w:type="dxa"/>
            <w:tcBorders>
              <w:top w:val="nil"/>
              <w:left w:val="nil"/>
              <w:bottom w:val="nil"/>
              <w:right w:val="nil"/>
            </w:tcBorders>
            <w:tcMar>
              <w:top w:w="0" w:type="dxa"/>
              <w:left w:w="62" w:type="dxa"/>
              <w:bottom w:w="0" w:type="dxa"/>
              <w:right w:w="62" w:type="dxa"/>
            </w:tcMar>
          </w:tcPr>
          <w:p w:rsidR="00000000" w:rsidRPr="00FD2B5F" w:rsidP="00FD2B5F">
            <w:pPr>
              <w:pStyle w:val="ListBullet"/>
            </w:pPr>
            <w:r w:rsidRPr="00FD2B5F">
              <w:t>incandescent</w:t>
            </w:r>
          </w:p>
          <w:p w:rsidR="00000000" w:rsidRPr="00FD2B5F" w:rsidP="00FD2B5F">
            <w:pPr>
              <w:pStyle w:val="ListBullet"/>
            </w:pPr>
            <w:r w:rsidRPr="00FD2B5F">
              <w:t>fluorescent</w:t>
            </w:r>
          </w:p>
          <w:p w:rsidR="00000000" w:rsidRPr="00FD2B5F" w:rsidP="00FD2B5F">
            <w:pPr>
              <w:pStyle w:val="ListBullet"/>
            </w:pPr>
            <w:r w:rsidRPr="00FD2B5F">
              <w:t>halogen or dichroic</w:t>
            </w:r>
          </w:p>
          <w:p w:rsidR="00000000" w:rsidRPr="00FD2B5F" w:rsidP="00FD2B5F">
            <w:pPr>
              <w:pStyle w:val="ListBullet"/>
            </w:pPr>
            <w:r w:rsidRPr="00FD2B5F">
              <w:t>natural light</w:t>
            </w:r>
          </w:p>
        </w:tc>
      </w:tr>
    </w:tbl>
    <w:p w:rsidR="00000000" w:rsidRPr="00FD2B5F" w:rsidP="00FD2B5F">
      <w:pPr>
        <w:pStyle w:val="BodyText"/>
      </w:pPr>
    </w:p>
    <w:p w:rsidR="00000000" w:rsidRPr="00FD2B5F" w:rsidP="00FD2B5F">
      <w:pPr>
        <w:pStyle w:val="AllowPageBreak"/>
      </w:pPr>
    </w:p>
    <w:p w:rsidR="00000000" w:rsidRPr="00FD2B5F" w:rsidP="00FD2B5F">
      <w:pPr>
        <w:pStyle w:val="Heading1"/>
      </w:pPr>
      <w:bookmarkStart w:id="9" w:name="O_627180"/>
      <w:bookmarkEnd w:id="9"/>
      <w:r w:rsidRPr="00FD2B5F">
        <w:t>Unit Mapping Information</w:t>
      </w:r>
    </w:p>
    <w:p w:rsidR="00000000" w:rsidRPr="00FD2B5F" w:rsidP="0054235C">
      <w:pPr>
        <w:pStyle w:val="BodyText"/>
      </w:pPr>
      <w:r w:rsidRPr="00FD2B5F">
        <w:t>Supersedes and is equivalent to LMFKB4001A Determine spatial planning considerations for kitchen design.</w:t>
      </w:r>
    </w:p>
    <w:p w:rsidR="00000000" w:rsidRPr="00FD2B5F" w:rsidP="00FD2B5F">
      <w:pPr>
        <w:pStyle w:val="Heading1"/>
      </w:pPr>
      <w:bookmarkStart w:id="10" w:name="O_627173"/>
      <w:bookmarkEnd w:id="10"/>
      <w:r w:rsidRPr="00FD2B5F">
        <w:t>Links</w:t>
      </w:r>
    </w:p>
    <w:p w:rsidR="00000000" w:rsidRPr="00FD2B5F" w:rsidP="0054235C">
      <w:pPr>
        <w:pStyle w:val="BodyText"/>
      </w:pPr>
      <w:r w:rsidRPr="00FD2B5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D1E4D">
        <w:rPr>
          <w:rStyle w:val="Hyperlink"/>
        </w:rPr>
        <w:t>https://vetnet.gov.au/Pages/TrainingDocs.aspx?q=0601ab95-583a-4e93-b2d4-cfb27b03ed73</w:t>
      </w:r>
      <w:r>
        <w:fldChar w:fldCharType="end"/>
      </w:r>
    </w:p>
    <w:p w:rsidR="00000000" w:rsidRPr="00FD2B5F" w:rsidP="0054235C">
      <w:pPr>
        <w:pStyle w:val="BodyText"/>
        <w:sectPr w:rsidSect="00FD2B5F">
          <w:headerReference w:type="default" r:id="rId10"/>
          <w:footerReference w:type="default" r:id="rId11"/>
          <w:pgSz w:w="11908" w:h="16833"/>
          <w:pgMar w:top="1702" w:right="1418" w:bottom="1702" w:left="1418" w:header="992" w:footer="992" w:gutter="0"/>
          <w:cols w:space="720"/>
          <w:noEndnote/>
          <w:docGrid w:linePitch="299"/>
        </w:sectPr>
      </w:pPr>
    </w:p>
    <w:p w:rsidR="00000000" w:rsidRPr="00FD2B5F" w:rsidP="00FD2B5F">
      <w:pPr>
        <w:pStyle w:val="SuperHeading"/>
      </w:pPr>
      <w:r w:rsidRPr="00FD2B5F">
        <w:t>Assessment Requirements for MSFKB4001 Determine spatial planning considerations for kitchen design</w:t>
      </w:r>
    </w:p>
    <w:p w:rsidR="00000000" w:rsidRPr="00FD2B5F" w:rsidP="00FD2B5F">
      <w:pPr>
        <w:pStyle w:val="Heading1"/>
      </w:pPr>
      <w:bookmarkStart w:id="11" w:name="O_627175"/>
      <w:bookmarkEnd w:id="11"/>
      <w:r w:rsidRPr="00FD2B5F">
        <w:t>Modification History</w:t>
      </w:r>
    </w:p>
    <w:p w:rsidR="00000000" w:rsidRPr="00FD2B5F" w:rsidP="0054235C">
      <w:pPr>
        <w:pStyle w:val="BodyText"/>
      </w:pPr>
      <w:r w:rsidRPr="00FD2B5F">
        <w:t>Release 1 - New unit of competency</w:t>
      </w:r>
    </w:p>
    <w:p w:rsidR="00000000" w:rsidRPr="00FD2B5F" w:rsidP="00FD2B5F">
      <w:pPr>
        <w:pStyle w:val="Heading1"/>
      </w:pPr>
      <w:bookmarkStart w:id="12" w:name="O_627178"/>
      <w:bookmarkEnd w:id="12"/>
      <w:r w:rsidRPr="00FD2B5F">
        <w:t>Performance Evidence</w:t>
      </w:r>
    </w:p>
    <w:p w:rsidR="00000000" w:rsidRPr="00FD2B5F" w:rsidP="00FD2B5F">
      <w:pPr>
        <w:pStyle w:val="ListBullet"/>
      </w:pPr>
      <w:r w:rsidRPr="00FD2B5F">
        <w:t xml:space="preserve">Follow work instructions, operating procedures and inspection processes to: </w:t>
      </w:r>
    </w:p>
    <w:p w:rsidR="00000000" w:rsidRPr="00FD2B5F" w:rsidP="00FD2B5F">
      <w:pPr>
        <w:pStyle w:val="ListBullet2"/>
      </w:pPr>
      <w:r w:rsidRPr="00FD2B5F">
        <w:t xml:space="preserve">minimise the risk of injury to self or others </w:t>
      </w:r>
    </w:p>
    <w:p w:rsidR="00000000" w:rsidRPr="00FD2B5F" w:rsidP="00FD2B5F">
      <w:pPr>
        <w:pStyle w:val="ListBullet2"/>
      </w:pPr>
      <w:r w:rsidRPr="00FD2B5F">
        <w:t xml:space="preserve">prevent damage to goods, equipment and products </w:t>
      </w:r>
    </w:p>
    <w:p w:rsidR="00000000" w:rsidRPr="00FD2B5F" w:rsidP="00FD2B5F">
      <w:pPr>
        <w:pStyle w:val="ListBullet2"/>
      </w:pPr>
      <w:r w:rsidRPr="00FD2B5F">
        <w:t>maintain</w:t>
      </w:r>
      <w:r w:rsidRPr="00FD2B5F">
        <w:t xml:space="preserve"> required production output and product quality </w:t>
      </w:r>
    </w:p>
    <w:p w:rsidR="00000000" w:rsidRPr="00FD2B5F" w:rsidP="00FD2B5F">
      <w:pPr>
        <w:pStyle w:val="ListBullet"/>
      </w:pPr>
      <w:r w:rsidRPr="00FD2B5F">
        <w:t>Access and interpret kitchen information to determine limitations and benefits of different spatial planning options used in kitchen design to meet Liveable Housing Design Guidelines</w:t>
      </w:r>
    </w:p>
    <w:p w:rsidR="00000000" w:rsidRPr="00FD2B5F" w:rsidP="00FD2B5F">
      <w:pPr>
        <w:pStyle w:val="ListBullet"/>
      </w:pPr>
      <w:r w:rsidRPr="00FD2B5F">
        <w:t>Identify and apply ergo</w:t>
      </w:r>
      <w:r w:rsidRPr="00FD2B5F">
        <w:t>nomic considerations and regulatory considerations for kitchen designs</w:t>
      </w:r>
    </w:p>
    <w:p w:rsidR="00000000" w:rsidRPr="00FD2B5F" w:rsidP="00FD2B5F">
      <w:pPr>
        <w:pStyle w:val="ListBullet"/>
      </w:pPr>
      <w:r w:rsidRPr="00FD2B5F">
        <w:t>Determine the implications of appliances, storage options and work patterns on kitchen designs, including intended use, features, manufacturers guidelines and installation requirements</w:t>
      </w:r>
    </w:p>
    <w:p w:rsidR="00000000" w:rsidRPr="00FD2B5F" w:rsidP="00FD2B5F">
      <w:pPr>
        <w:pStyle w:val="ListBullet"/>
      </w:pPr>
      <w:r w:rsidRPr="00FD2B5F">
        <w:t>Identify the range of services needed for a kitchen and relevant regulations and construction that impact on the design process</w:t>
      </w:r>
    </w:p>
    <w:p w:rsidR="00000000" w:rsidRPr="00FD2B5F" w:rsidP="00FD2B5F">
      <w:pPr>
        <w:pStyle w:val="ListBullet"/>
      </w:pPr>
      <w:r w:rsidRPr="00FD2B5F">
        <w:t xml:space="preserve">Use mathematical ideas and techniques to correctly complete measurements, calculate area and estimate material requirements </w:t>
      </w:r>
    </w:p>
    <w:p w:rsidR="00000000" w:rsidRPr="00FD2B5F" w:rsidP="00FD2B5F">
      <w:pPr>
        <w:pStyle w:val="ListBullet"/>
      </w:pPr>
      <w:r w:rsidRPr="00FD2B5F">
        <w:t xml:space="preserve">Communicate ideas and information to enable confirmation of work requirements and specifications and the reporting of work outcomes and problems, interpret basic plans and follow safety procedures </w:t>
      </w:r>
    </w:p>
    <w:p w:rsidR="00000000" w:rsidRPr="00FD2B5F" w:rsidP="00FD2B5F">
      <w:pPr>
        <w:pStyle w:val="ListBullet"/>
      </w:pPr>
      <w:r w:rsidRPr="00FD2B5F">
        <w:t>Avoid backtracking, work flow interruptions or wastage</w:t>
      </w:r>
    </w:p>
    <w:p w:rsidR="00000000" w:rsidRPr="00FD2B5F" w:rsidP="00FD2B5F">
      <w:pPr>
        <w:pStyle w:val="ListBullet"/>
      </w:pPr>
      <w:r w:rsidRPr="00FD2B5F">
        <w:t>Wor</w:t>
      </w:r>
      <w:r w:rsidRPr="00FD2B5F">
        <w:t>k with others and in a team by recognising dependencies and using cooperative approaches to optimise work flow and productivity</w:t>
      </w:r>
    </w:p>
    <w:p w:rsidR="00000000" w:rsidRPr="00FD2B5F" w:rsidP="00FD2B5F">
      <w:pPr>
        <w:pStyle w:val="AllowPageBreak"/>
      </w:pPr>
    </w:p>
    <w:p w:rsidR="00000000" w:rsidRPr="00FD2B5F" w:rsidP="00FD2B5F">
      <w:pPr>
        <w:pStyle w:val="Heading1"/>
      </w:pPr>
      <w:bookmarkStart w:id="13" w:name="O_627177"/>
      <w:bookmarkEnd w:id="13"/>
      <w:r w:rsidRPr="00FD2B5F">
        <w:t>Knowledge Evidence</w:t>
      </w:r>
    </w:p>
    <w:p w:rsidR="00000000" w:rsidRPr="00FD2B5F" w:rsidP="00FD2B5F">
      <w:pPr>
        <w:pStyle w:val="ListBullet"/>
      </w:pPr>
      <w:r w:rsidRPr="00FD2B5F">
        <w:t xml:space="preserve">Features of kitchen components </w:t>
      </w:r>
    </w:p>
    <w:p w:rsidR="00000000" w:rsidRPr="00FD2B5F" w:rsidP="00FD2B5F">
      <w:pPr>
        <w:pStyle w:val="ListBullet"/>
      </w:pPr>
      <w:r w:rsidRPr="00FD2B5F">
        <w:t>Liveable Housing Design Guidelines</w:t>
      </w:r>
    </w:p>
    <w:p w:rsidR="00000000" w:rsidRPr="00FD2B5F" w:rsidP="00FD2B5F">
      <w:pPr>
        <w:pStyle w:val="ListBullet"/>
      </w:pPr>
      <w:r w:rsidRPr="00FD2B5F">
        <w:t>State or territory WHS l</w:t>
      </w:r>
      <w:r w:rsidRPr="00FD2B5F">
        <w:t>egislation, regulations, standards and codes of practice relevant to kitchen designs</w:t>
      </w:r>
    </w:p>
    <w:p w:rsidR="00000000" w:rsidRPr="00FD2B5F" w:rsidP="00FD2B5F">
      <w:pPr>
        <w:pStyle w:val="ListBullet"/>
      </w:pPr>
      <w:r w:rsidRPr="00FD2B5F">
        <w:t>Characteristics of storage, appliance, lighting and service options</w:t>
      </w:r>
    </w:p>
    <w:p w:rsidR="00000000" w:rsidRPr="00FD2B5F" w:rsidP="00FD2B5F">
      <w:pPr>
        <w:pStyle w:val="ListBullet"/>
      </w:pPr>
      <w:r w:rsidRPr="00FD2B5F">
        <w:t>Relevant information resources</w:t>
      </w:r>
    </w:p>
    <w:p w:rsidR="00000000" w:rsidRPr="00FD2B5F" w:rsidP="00FD2B5F">
      <w:pPr>
        <w:pStyle w:val="AllowPageBreak"/>
      </w:pPr>
    </w:p>
    <w:p w:rsidR="00000000" w:rsidRPr="00FD2B5F" w:rsidP="00FD2B5F">
      <w:pPr>
        <w:pStyle w:val="Heading1"/>
      </w:pPr>
      <w:bookmarkStart w:id="14" w:name="O_627176"/>
      <w:bookmarkEnd w:id="14"/>
      <w:r w:rsidRPr="00FD2B5F">
        <w:t>Assessment Conditions</w:t>
      </w:r>
    </w:p>
    <w:p w:rsidR="00000000" w:rsidRPr="00FD2B5F" w:rsidP="00FD2B5F">
      <w:pPr>
        <w:pStyle w:val="ListBullet"/>
      </w:pPr>
      <w:r w:rsidRPr="00FD2B5F">
        <w:t>Assessors must:</w:t>
      </w:r>
    </w:p>
    <w:p w:rsidR="00000000" w:rsidRPr="00FD2B5F" w:rsidP="00FD2B5F">
      <w:pPr>
        <w:pStyle w:val="ListBullet2"/>
      </w:pPr>
      <w:r w:rsidRPr="00FD2B5F">
        <w:t>hold training a</w:t>
      </w:r>
      <w:r w:rsidRPr="00FD2B5F">
        <w:t>nd assessment competencies as determined by the National Skills Standards Council (NSSC) or its successors</w:t>
      </w:r>
    </w:p>
    <w:p w:rsidR="00000000" w:rsidRPr="00FD2B5F" w:rsidP="00FD2B5F">
      <w:pPr>
        <w:pStyle w:val="ListBullet2"/>
      </w:pPr>
      <w:r w:rsidRPr="00FD2B5F">
        <w:t xml:space="preserve">have vocational competency in the furnishing industry at least to the level being assessed with broad industry knowledge and experience, usually combined with a relevant industry qualification </w:t>
      </w:r>
    </w:p>
    <w:p w:rsidR="00000000" w:rsidRPr="00FD2B5F" w:rsidP="00FD2B5F">
      <w:pPr>
        <w:pStyle w:val="ListBullet2"/>
      </w:pPr>
      <w:r w:rsidRPr="00FD2B5F">
        <w:t>be familiar with the current skills and knowledge used and hav</w:t>
      </w:r>
      <w:r w:rsidRPr="00FD2B5F">
        <w:t>e relevant, current experience in the furnishing industry.</w:t>
      </w:r>
    </w:p>
    <w:p w:rsidR="00000000" w:rsidRPr="00FD2B5F" w:rsidP="00FD2B5F">
      <w:pPr>
        <w:pStyle w:val="ListBullet"/>
      </w:pPr>
      <w:r w:rsidRPr="00FD2B5F">
        <w:t xml:space="preserve">Assessment methods must confirm consistency of performance over time rather than a single assessment event and in a range of workplace relevant contexts. </w:t>
      </w:r>
    </w:p>
    <w:p w:rsidR="00000000" w:rsidRPr="00FD2B5F" w:rsidP="00FD2B5F">
      <w:pPr>
        <w:pStyle w:val="ListBullet"/>
      </w:pPr>
      <w:r w:rsidRPr="00FD2B5F">
        <w:t>Assessment must be by observation of rele</w:t>
      </w:r>
      <w:r w:rsidRPr="00FD2B5F">
        <w:t xml:space="preserve">vant tasks with questioning on underpinning knowledge and, where applicable, multimedia evidence, supervisor’s reports, projects and work samples. </w:t>
      </w:r>
    </w:p>
    <w:p w:rsidR="00000000" w:rsidRPr="00FD2B5F" w:rsidP="00FD2B5F">
      <w:pPr>
        <w:pStyle w:val="ListBullet"/>
      </w:pPr>
      <w:r w:rsidRPr="00FD2B5F">
        <w:t>Assessment is to be conducted on single units of competency or in conjunction with other related units of co</w:t>
      </w:r>
      <w:r w:rsidRPr="00FD2B5F">
        <w:t>mpetency. Foundation skills are integral to competent performance in the unit and should not be assessed separately.</w:t>
      </w:r>
    </w:p>
    <w:p w:rsidR="00000000" w:rsidRPr="00FD2B5F" w:rsidP="00FD2B5F">
      <w:pPr>
        <w:pStyle w:val="ListBullet"/>
      </w:pPr>
      <w:r w:rsidRPr="00FD2B5F">
        <w:t>Assessment must occur on the job or in a workplace simulated facility with relevant process, equipment, materials, work instructions and de</w:t>
      </w:r>
      <w:r w:rsidRPr="00FD2B5F">
        <w:t>adlines.</w:t>
      </w:r>
    </w:p>
    <w:p w:rsidR="00000000" w:rsidRPr="00FD2B5F" w:rsidP="00FD2B5F">
      <w:pPr>
        <w:pStyle w:val="ListBullet"/>
      </w:pPr>
      <w:r w:rsidRPr="00FD2B5F">
        <w:t>Access is required to work-related information resources.</w:t>
      </w:r>
    </w:p>
    <w:p w:rsidR="00000000" w:rsidRPr="00FD2B5F" w:rsidP="00FD2B5F">
      <w:pPr>
        <w:pStyle w:val="AllowPageBreak"/>
      </w:pPr>
    </w:p>
    <w:p w:rsidR="00000000" w:rsidRPr="00FD2B5F" w:rsidP="00FD2B5F">
      <w:pPr>
        <w:pStyle w:val="Heading1"/>
      </w:pPr>
      <w:bookmarkStart w:id="15" w:name="O_627174"/>
      <w:bookmarkEnd w:id="15"/>
      <w:r w:rsidRPr="00FD2B5F">
        <w:t>Links</w:t>
      </w:r>
    </w:p>
    <w:p w:rsidR="00000000" w:rsidRPr="00FD2B5F" w:rsidP="0054235C">
      <w:pPr>
        <w:pStyle w:val="BodyText"/>
      </w:pPr>
      <w:r w:rsidRPr="00FD2B5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D1E4D">
        <w:rPr>
          <w:rStyle w:val="Hyperlink"/>
        </w:rPr>
        <w:t>https://vetnet.gov.au/Pages/TrainingDocs.aspx?q=0601ab95-583a-4e93-b2d4-cfb27b03ed73</w:t>
      </w:r>
      <w:r>
        <w:fldChar w:fldCharType="end"/>
      </w:r>
    </w:p>
    <w:p w:rsidR="00000000" w:rsidRPr="00FD2B5F" w:rsidP="00FD2B5F"/>
    <w:sectPr w:rsidSect="00FD2B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B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B5F" w:rsidRPr="0054235C" w:rsidP="005423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B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35C" w:rsidP="00FD2B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4235C" w:rsidP="00FD2B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4235C" w:rsidP="00FD2B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B5F" w:rsidP="00FD2B5F">
    <w:pPr>
      <w:pStyle w:val="Footer"/>
      <w:framePr w:wrap="around"/>
    </w:pPr>
    <w:r>
      <w:fldChar w:fldCharType="begin"/>
    </w:r>
    <w:r>
      <w:instrText xml:space="preserve"> DOCPROPERTY  Subject  \* MERGEFORMAT </w:instrText>
    </w:r>
    <w:r>
      <w:fldChar w:fldCharType="separate"/>
    </w:r>
    <w:r w:rsidR="0054235C">
      <w:t>Approved</w:t>
    </w:r>
    <w:r w:rsidR="0054235C">
      <w:fldChar w:fldCharType="end"/>
    </w:r>
    <w:r>
      <w:tab/>
      <w:t xml:space="preserve">Page </w:t>
    </w:r>
    <w:r>
      <w:fldChar w:fldCharType="begin"/>
    </w:r>
    <w:r>
      <w:instrText xml:space="preserve"> PAGE  \* Arabic  \* MERGEFORMAT </w:instrText>
    </w:r>
    <w:r>
      <w:fldChar w:fldCharType="separate"/>
    </w:r>
    <w:r w:rsidR="0054235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235C">
      <w:rPr>
        <w:noProof/>
      </w:rPr>
      <w:t>6</w:t>
    </w:r>
    <w:r>
      <w:rPr>
        <w:noProof/>
      </w:rPr>
      <w:fldChar w:fldCharType="end"/>
    </w:r>
  </w:p>
  <w:p w:rsidR="00FD2B5F" w:rsidP="00FD2B5F">
    <w:pPr>
      <w:pStyle w:val="Footer"/>
      <w:framePr w:wrap="around"/>
    </w:pPr>
    <w:r>
      <w:t xml:space="preserve">© Commonwealth of Australia, </w:t>
    </w:r>
    <w:r>
      <w:fldChar w:fldCharType="begin"/>
    </w:r>
    <w:r>
      <w:instrText xml:space="preserve"> DATE  \@ "yyyy"  \* MERGEFORMAT </w:instrText>
    </w:r>
    <w:r>
      <w:fldChar w:fldCharType="separate"/>
    </w:r>
    <w:r w:rsidR="0054235C">
      <w:rPr>
        <w:noProof/>
      </w:rPr>
      <w:t>2025</w:t>
    </w:r>
    <w:r>
      <w:fldChar w:fldCharType="end"/>
    </w:r>
    <w:r>
      <w:tab/>
    </w:r>
    <w:r>
      <w:fldChar w:fldCharType="begin"/>
    </w:r>
    <w:r>
      <w:instrText xml:space="preserve"> DOCPROPERTY  Author  \* MERGEFORMAT </w:instrText>
    </w:r>
    <w:r>
      <w:fldChar w:fldCharType="separate"/>
    </w:r>
    <w:r w:rsidR="0054235C">
      <w:t>Skills Insight</w:t>
    </w:r>
    <w:r w:rsidR="0054235C">
      <w:fldChar w:fldCharType="end"/>
    </w:r>
  </w:p>
  <w:p w:rsidR="00FD2B5F" w:rsidP="00FD2B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B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3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2B5F" w:rsidRPr="0054235C" w:rsidP="005423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B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35C" w:rsidRPr="002D2AF8" w:rsidP="00FD2B5F">
    <w:pPr>
      <w:pStyle w:val="Header"/>
      <w:framePr w:wrap="around"/>
    </w:pPr>
    <w:r>
      <w:fldChar w:fldCharType="begin"/>
    </w:r>
    <w:r>
      <w:instrText xml:space="preserve"> TITLE   \* MERGEFORMAT </w:instrText>
    </w:r>
    <w:r>
      <w:fldChar w:fldCharType="separate"/>
    </w:r>
    <w:r>
      <w:t>MSFKB4001 Determine spatial planning considerations for kitchen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4235C" w:rsidP="00FD2B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B5F" w:rsidRPr="002D2AF8" w:rsidP="00FD2B5F">
    <w:pPr>
      <w:pStyle w:val="Header"/>
      <w:framePr w:wrap="around"/>
    </w:pPr>
    <w:r>
      <w:fldChar w:fldCharType="begin"/>
    </w:r>
    <w:r>
      <w:instrText xml:space="preserve"> TITLE   \* MERGEFORMAT </w:instrText>
    </w:r>
    <w:r>
      <w:fldChar w:fldCharType="separate"/>
    </w:r>
    <w:r w:rsidR="0054235C">
      <w:t>MSFKB4001 Determine spatial planning considerations for kitchen design</w:t>
    </w:r>
    <w:r w:rsidR="0054235C">
      <w:fldChar w:fldCharType="end"/>
    </w:r>
    <w:r>
      <w:tab/>
      <w:t xml:space="preserve">Date this document was generated: </w:t>
    </w:r>
    <w:r>
      <w:fldChar w:fldCharType="begin"/>
    </w:r>
    <w:r>
      <w:instrText xml:space="preserve"> CREATEDATE  \@ "d MMMM yyyy"  \* MERGEFORMAT </w:instrText>
    </w:r>
    <w:r>
      <w:fldChar w:fldCharType="separate"/>
    </w:r>
    <w:r w:rsidR="0054235C">
      <w:rPr>
        <w:noProof/>
      </w:rPr>
      <w:t>1 March 2025</w:t>
    </w:r>
    <w:r>
      <w:fldChar w:fldCharType="end"/>
    </w:r>
  </w:p>
  <w:p w:rsidR="00FD2B5F" w:rsidP="00FD2B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78FC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96CF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3860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B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2B5F"/>
    <w:pPr>
      <w:spacing w:before="360" w:after="60"/>
      <w:outlineLvl w:val="0"/>
    </w:pPr>
    <w:rPr>
      <w:sz w:val="32"/>
    </w:rPr>
  </w:style>
  <w:style w:type="paragraph" w:styleId="Heading2">
    <w:name w:val="heading 2"/>
    <w:basedOn w:val="HeadingBase"/>
    <w:next w:val="BodyText"/>
    <w:link w:val="Heading2Char"/>
    <w:qFormat/>
    <w:rsid w:val="00FD2B5F"/>
    <w:pPr>
      <w:keepLines/>
      <w:spacing w:before="240" w:after="120"/>
      <w:outlineLvl w:val="1"/>
    </w:pPr>
    <w:rPr>
      <w:sz w:val="28"/>
      <w:szCs w:val="40"/>
    </w:rPr>
  </w:style>
  <w:style w:type="paragraph" w:styleId="Heading3">
    <w:name w:val="heading 3"/>
    <w:basedOn w:val="HeadingBase"/>
    <w:next w:val="BodyText"/>
    <w:link w:val="Heading3Char"/>
    <w:qFormat/>
    <w:rsid w:val="00FD2B5F"/>
    <w:pPr>
      <w:spacing w:before="180" w:after="120"/>
      <w:outlineLvl w:val="2"/>
    </w:pPr>
    <w:rPr>
      <w:spacing w:val="-10"/>
      <w:kern w:val="32"/>
    </w:rPr>
  </w:style>
  <w:style w:type="paragraph" w:styleId="Heading4">
    <w:name w:val="heading 4"/>
    <w:basedOn w:val="HeadingBase"/>
    <w:next w:val="BodyText"/>
    <w:link w:val="Heading4Char"/>
    <w:qFormat/>
    <w:rsid w:val="00FD2B5F"/>
    <w:pPr>
      <w:spacing w:before="160" w:after="120"/>
      <w:outlineLvl w:val="3"/>
    </w:pPr>
    <w:rPr>
      <w:sz w:val="22"/>
    </w:rPr>
  </w:style>
  <w:style w:type="paragraph" w:styleId="Heading5">
    <w:name w:val="heading 5"/>
    <w:basedOn w:val="HeadingBase"/>
    <w:next w:val="Normal"/>
    <w:link w:val="Heading5Char"/>
    <w:qFormat/>
    <w:rsid w:val="00FD2B5F"/>
    <w:pPr>
      <w:spacing w:before="80"/>
      <w:outlineLvl w:val="4"/>
    </w:pPr>
    <w:rPr>
      <w:color w:val="918585"/>
      <w:sz w:val="20"/>
    </w:rPr>
  </w:style>
  <w:style w:type="paragraph" w:styleId="Heading6">
    <w:name w:val="heading 6"/>
    <w:basedOn w:val="HeadingBase"/>
    <w:next w:val="Normal"/>
    <w:link w:val="Heading6Char"/>
    <w:qFormat/>
    <w:rsid w:val="00FD2B5F"/>
    <w:pPr>
      <w:spacing w:before="60"/>
      <w:outlineLvl w:val="5"/>
    </w:pPr>
    <w:rPr>
      <w:color w:val="918585"/>
      <w:sz w:val="20"/>
    </w:rPr>
  </w:style>
  <w:style w:type="paragraph" w:styleId="Heading7">
    <w:name w:val="heading 7"/>
    <w:basedOn w:val="Normal"/>
    <w:next w:val="Normal"/>
    <w:link w:val="Heading7Char"/>
    <w:qFormat/>
    <w:rsid w:val="00FD2B5F"/>
    <w:pPr>
      <w:ind w:left="720"/>
      <w:outlineLvl w:val="6"/>
    </w:pPr>
    <w:rPr>
      <w:i/>
    </w:rPr>
  </w:style>
  <w:style w:type="paragraph" w:styleId="Heading8">
    <w:name w:val="heading 8"/>
    <w:basedOn w:val="Normal"/>
    <w:next w:val="Normal"/>
    <w:link w:val="Heading8Char"/>
    <w:qFormat/>
    <w:rsid w:val="00FD2B5F"/>
    <w:pPr>
      <w:ind w:left="720"/>
      <w:outlineLvl w:val="7"/>
    </w:pPr>
    <w:rPr>
      <w:i/>
    </w:rPr>
  </w:style>
  <w:style w:type="paragraph" w:styleId="Heading9">
    <w:name w:val="heading 9"/>
    <w:basedOn w:val="Normal"/>
    <w:next w:val="Normal"/>
    <w:link w:val="Heading9Char"/>
    <w:qFormat/>
    <w:rsid w:val="00FD2B5F"/>
    <w:pPr>
      <w:ind w:left="720"/>
      <w:outlineLvl w:val="8"/>
    </w:pPr>
    <w:rPr>
      <w:i/>
    </w:rPr>
  </w:style>
  <w:style w:type="character" w:default="1" w:styleId="DefaultParagraphFont">
    <w:name w:val="Default Paragraph Font"/>
    <w:uiPriority w:val="1"/>
    <w:unhideWhenUsed/>
    <w:rsid w:val="00FD2B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B5F"/>
  </w:style>
  <w:style w:type="character" w:customStyle="1" w:styleId="Heading1Char">
    <w:name w:val="Heading 1 Char"/>
    <w:basedOn w:val="DefaultParagraphFont"/>
    <w:link w:val="Heading1"/>
    <w:rsid w:val="00FD2B5F"/>
    <w:rPr>
      <w:rFonts w:ascii="Times New Roman" w:eastAsia="Times New Roman" w:hAnsi="Times New Roman" w:cs="Times New Roman"/>
      <w:b/>
      <w:sz w:val="32"/>
      <w:szCs w:val="20"/>
      <w:lang w:eastAsia="en-US"/>
    </w:rPr>
  </w:style>
  <w:style w:type="paragraph" w:styleId="BodyText">
    <w:name w:val="Body Text"/>
    <w:basedOn w:val="Normal"/>
    <w:link w:val="BodyTextChar"/>
    <w:rsid w:val="00FD2B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2B5F"/>
    <w:rPr>
      <w:rFonts w:ascii="Times New Roman" w:eastAsia="Times New Roman" w:hAnsi="Times New Roman" w:cs="Times New Roman"/>
      <w:sz w:val="24"/>
      <w:lang w:eastAsia="en-US"/>
    </w:rPr>
  </w:style>
  <w:style w:type="paragraph" w:styleId="ListBullet">
    <w:name w:val="List Bullet"/>
    <w:basedOn w:val="List"/>
    <w:rsid w:val="00FD2B5F"/>
    <w:pPr>
      <w:numPr>
        <w:numId w:val="12"/>
      </w:numPr>
      <w:tabs>
        <w:tab w:val="clear" w:pos="340"/>
      </w:tabs>
      <w:spacing w:before="40" w:after="40"/>
    </w:pPr>
  </w:style>
  <w:style w:type="character" w:customStyle="1" w:styleId="SpecialBold">
    <w:name w:val="Special Bold"/>
    <w:basedOn w:val="DefaultParagraphFont"/>
    <w:rsid w:val="00FD2B5F"/>
    <w:rPr>
      <w:b/>
      <w:spacing w:val="0"/>
    </w:rPr>
  </w:style>
  <w:style w:type="paragraph" w:styleId="ListBullet2">
    <w:name w:val="List Bullet 2"/>
    <w:basedOn w:val="List2"/>
    <w:rsid w:val="00FD2B5F"/>
    <w:pPr>
      <w:numPr>
        <w:numId w:val="13"/>
      </w:numPr>
      <w:tabs>
        <w:tab w:val="clear" w:pos="680"/>
      </w:tabs>
    </w:pPr>
  </w:style>
  <w:style w:type="character" w:styleId="Emphasis">
    <w:name w:val="Emphasis"/>
    <w:basedOn w:val="DefaultParagraphFont"/>
    <w:qFormat/>
    <w:rsid w:val="00FD2B5F"/>
    <w:rPr>
      <w:i/>
    </w:rPr>
  </w:style>
  <w:style w:type="paragraph" w:customStyle="1" w:styleId="SuperHeading">
    <w:name w:val="SuperHeading"/>
    <w:basedOn w:val="Normal"/>
    <w:rsid w:val="00FD2B5F"/>
    <w:pPr>
      <w:spacing w:before="240" w:after="120"/>
      <w:outlineLvl w:val="0"/>
    </w:pPr>
    <w:rPr>
      <w:rFonts w:ascii="Times New Roman" w:hAnsi="Times New Roman"/>
      <w:b/>
      <w:sz w:val="32"/>
    </w:rPr>
  </w:style>
  <w:style w:type="paragraph" w:customStyle="1" w:styleId="AllowPageBreak">
    <w:name w:val="AllowPageBreak"/>
    <w:rsid w:val="00FD2B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2B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2B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2B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2B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2B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B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2B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2B5F"/>
    <w:rPr>
      <w:rFonts w:ascii="Courier New" w:eastAsia="Times New Roman" w:hAnsi="Courier New" w:cs="Times New Roman"/>
      <w:i/>
      <w:szCs w:val="20"/>
      <w:lang w:eastAsia="en-US"/>
    </w:rPr>
  </w:style>
  <w:style w:type="paragraph" w:customStyle="1" w:styleId="HeadingBase">
    <w:name w:val="Heading Base"/>
    <w:rsid w:val="00FD2B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B5F"/>
    <w:pPr>
      <w:tabs>
        <w:tab w:val="right" w:leader="dot" w:pos="9072"/>
      </w:tabs>
      <w:ind w:left="567"/>
    </w:pPr>
    <w:rPr>
      <w:szCs w:val="22"/>
    </w:rPr>
  </w:style>
  <w:style w:type="paragraph" w:customStyle="1" w:styleId="TOCBase">
    <w:name w:val="TOC Base"/>
    <w:rsid w:val="00FD2B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B5F"/>
    <w:pPr>
      <w:tabs>
        <w:tab w:val="right" w:leader="dot" w:pos="9072"/>
      </w:tabs>
      <w:spacing w:before="40" w:after="40"/>
      <w:ind w:left="284"/>
    </w:pPr>
    <w:rPr>
      <w:rFonts w:ascii="Times New Roman" w:hAnsi="Times New Roman"/>
    </w:rPr>
  </w:style>
  <w:style w:type="paragraph" w:styleId="TOC1">
    <w:name w:val="toc 1"/>
    <w:basedOn w:val="TOCBase"/>
    <w:next w:val="Normal"/>
    <w:rsid w:val="00FD2B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2B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2B5F"/>
    <w:rPr>
      <w:rFonts w:ascii="Times New Roman" w:eastAsia="Times New Roman" w:hAnsi="Times New Roman" w:cs="Times New Roman"/>
      <w:sz w:val="16"/>
      <w:lang w:eastAsia="en-US"/>
    </w:rPr>
  </w:style>
  <w:style w:type="paragraph" w:styleId="Title">
    <w:name w:val="Title"/>
    <w:basedOn w:val="HeadingBase"/>
    <w:link w:val="TitleChar"/>
    <w:qFormat/>
    <w:rsid w:val="00FD2B5F"/>
    <w:pPr>
      <w:spacing w:before="5040"/>
      <w:jc w:val="center"/>
    </w:pPr>
    <w:rPr>
      <w:sz w:val="48"/>
      <w:szCs w:val="72"/>
      <w:lang w:val="en-US"/>
    </w:rPr>
  </w:style>
  <w:style w:type="character" w:customStyle="1" w:styleId="TitleChar">
    <w:name w:val="Title Char"/>
    <w:basedOn w:val="DefaultParagraphFont"/>
    <w:link w:val="Title"/>
    <w:rsid w:val="00FD2B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B5F"/>
    <w:pPr>
      <w:tabs>
        <w:tab w:val="left" w:pos="3600"/>
        <w:tab w:val="left" w:pos="3958"/>
      </w:tabs>
    </w:pPr>
  </w:style>
  <w:style w:type="paragraph" w:styleId="List">
    <w:name w:val="List"/>
    <w:basedOn w:val="BodyText"/>
    <w:next w:val="BodyText"/>
    <w:rsid w:val="00FD2B5F"/>
    <w:pPr>
      <w:tabs>
        <w:tab w:val="left" w:pos="340"/>
      </w:tabs>
      <w:spacing w:before="60" w:after="60"/>
      <w:ind w:left="340" w:hanging="340"/>
    </w:pPr>
  </w:style>
  <w:style w:type="paragraph" w:customStyle="1" w:styleId="Note">
    <w:name w:val="Note"/>
    <w:basedOn w:val="BodyText"/>
    <w:rsid w:val="00FD2B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2B5F"/>
    <w:pPr>
      <w:framePr w:wrap="auto" w:hAnchor="text" w:y="6049"/>
    </w:pPr>
    <w:rPr>
      <w:color w:val="000000"/>
      <w:sz w:val="40"/>
    </w:rPr>
  </w:style>
  <w:style w:type="paragraph" w:customStyle="1" w:styleId="TOCTitle">
    <w:name w:val="TOCTitle"/>
    <w:basedOn w:val="Heading1"/>
    <w:rsid w:val="00FD2B5F"/>
    <w:pPr>
      <w:spacing w:after="240"/>
      <w:jc w:val="center"/>
      <w:outlineLvl w:val="9"/>
    </w:pPr>
    <w:rPr>
      <w:caps/>
    </w:rPr>
  </w:style>
  <w:style w:type="paragraph" w:customStyle="1" w:styleId="Version">
    <w:name w:val="Version"/>
    <w:rsid w:val="00FD2B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2B5F"/>
    <w:pPr>
      <w:keepNext w:val="0"/>
      <w:tabs>
        <w:tab w:val="right" w:pos="4176"/>
      </w:tabs>
      <w:ind w:left="198" w:hanging="198"/>
    </w:pPr>
    <w:rPr>
      <w:rFonts w:ascii="Garamond" w:hAnsi="Garamond"/>
    </w:rPr>
  </w:style>
  <w:style w:type="paragraph" w:styleId="IndexHeading">
    <w:name w:val="index heading"/>
    <w:basedOn w:val="Normal"/>
    <w:next w:val="Index1"/>
    <w:semiHidden/>
    <w:rsid w:val="00FD2B5F"/>
    <w:pPr>
      <w:spacing w:before="120" w:after="120"/>
    </w:pPr>
    <w:rPr>
      <w:rFonts w:ascii="Arial" w:hAnsi="Arial"/>
      <w:b/>
      <w:color w:val="918585"/>
      <w:sz w:val="24"/>
    </w:rPr>
  </w:style>
  <w:style w:type="paragraph" w:styleId="Header">
    <w:name w:val="header"/>
    <w:basedOn w:val="Normal"/>
    <w:link w:val="HeaderChar"/>
    <w:rsid w:val="00FD2B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2B5F"/>
    <w:rPr>
      <w:rFonts w:ascii="Times New Roman" w:eastAsia="Times New Roman" w:hAnsi="Times New Roman" w:cs="Times New Roman"/>
      <w:sz w:val="16"/>
      <w:szCs w:val="20"/>
      <w:lang w:val="en-GB" w:eastAsia="en-US"/>
    </w:rPr>
  </w:style>
  <w:style w:type="paragraph" w:customStyle="1" w:styleId="Chapter">
    <w:name w:val="Chapter"/>
    <w:basedOn w:val="Normal"/>
    <w:rsid w:val="00FD2B5F"/>
    <w:pPr>
      <w:spacing w:before="240"/>
    </w:pPr>
    <w:rPr>
      <w:rFonts w:ascii="Times New Roman" w:hAnsi="Times New Roman"/>
      <w:smallCaps/>
      <w:spacing w:val="80"/>
      <w:sz w:val="28"/>
    </w:rPr>
  </w:style>
  <w:style w:type="paragraph" w:customStyle="1" w:styleId="InChapter">
    <w:name w:val="InChapter"/>
    <w:basedOn w:val="Heading3"/>
    <w:rsid w:val="00FD2B5F"/>
    <w:pPr>
      <w:spacing w:after="240"/>
      <w:outlineLvl w:val="9"/>
    </w:pPr>
    <w:rPr>
      <w:noProof/>
    </w:rPr>
  </w:style>
  <w:style w:type="paragraph" w:styleId="Index2">
    <w:name w:val="index 2"/>
    <w:basedOn w:val="Normal"/>
    <w:next w:val="Normal"/>
    <w:semiHidden/>
    <w:rsid w:val="00FD2B5F"/>
    <w:pPr>
      <w:tabs>
        <w:tab w:val="right" w:pos="4176"/>
      </w:tabs>
      <w:ind w:left="568" w:hanging="284"/>
    </w:pPr>
    <w:rPr>
      <w:rFonts w:ascii="Garamond" w:hAnsi="Garamond"/>
    </w:rPr>
  </w:style>
  <w:style w:type="paragraph" w:customStyle="1" w:styleId="Byline">
    <w:name w:val="Byline"/>
    <w:rsid w:val="00FD2B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B5F"/>
    <w:pPr>
      <w:tabs>
        <w:tab w:val="clear" w:pos="3600"/>
        <w:tab w:val="clear" w:pos="3958"/>
      </w:tabs>
      <w:jc w:val="right"/>
    </w:pPr>
  </w:style>
  <w:style w:type="paragraph" w:styleId="Caption">
    <w:name w:val="caption"/>
    <w:basedOn w:val="BodyText"/>
    <w:next w:val="Normal"/>
    <w:qFormat/>
    <w:rsid w:val="00FD2B5F"/>
    <w:pPr>
      <w:framePr w:w="2268" w:hSpace="181" w:vSpace="181" w:wrap="around" w:vAnchor="text" w:hAnchor="page" w:x="1135" w:y="285" w:anchorLock="1"/>
    </w:pPr>
    <w:rPr>
      <w:i/>
    </w:rPr>
  </w:style>
  <w:style w:type="paragraph" w:customStyle="1" w:styleId="MiniTOCTitle">
    <w:name w:val="MiniTOCTitle"/>
    <w:basedOn w:val="Heading4"/>
    <w:rsid w:val="00FD2B5F"/>
    <w:pPr>
      <w:spacing w:before="240"/>
      <w:outlineLvl w:val="9"/>
    </w:pPr>
    <w:rPr>
      <w:noProof/>
      <w:sz w:val="24"/>
    </w:rPr>
  </w:style>
  <w:style w:type="paragraph" w:customStyle="1" w:styleId="MiniTOCItem">
    <w:name w:val="MiniTOCItem"/>
    <w:basedOn w:val="ListBullet"/>
    <w:rsid w:val="00FD2B5F"/>
    <w:pPr>
      <w:numPr>
        <w:numId w:val="0"/>
      </w:numPr>
      <w:tabs>
        <w:tab w:val="right" w:leader="dot" w:pos="6521"/>
      </w:tabs>
      <w:spacing w:before="0" w:after="0"/>
    </w:pPr>
  </w:style>
  <w:style w:type="paragraph" w:customStyle="1" w:styleId="TOFTitle">
    <w:name w:val="TOFTitle"/>
    <w:basedOn w:val="TOCTitle"/>
    <w:rsid w:val="00FD2B5F"/>
  </w:style>
  <w:style w:type="paragraph" w:styleId="TableofFigures">
    <w:name w:val="table of figures"/>
    <w:basedOn w:val="Normal"/>
    <w:next w:val="Normal"/>
    <w:semiHidden/>
    <w:rsid w:val="00FD2B5F"/>
    <w:pPr>
      <w:tabs>
        <w:tab w:val="right" w:leader="dot" w:pos="9072"/>
      </w:tabs>
      <w:ind w:left="970" w:hanging="403"/>
    </w:pPr>
    <w:rPr>
      <w:rFonts w:ascii="Times New Roman" w:hAnsi="Times New Roman"/>
      <w:b/>
    </w:rPr>
  </w:style>
  <w:style w:type="paragraph" w:styleId="ListNumber">
    <w:name w:val="List Number"/>
    <w:basedOn w:val="List"/>
    <w:rsid w:val="00FD2B5F"/>
    <w:pPr>
      <w:numPr>
        <w:numId w:val="15"/>
      </w:numPr>
      <w:tabs>
        <w:tab w:val="clear" w:pos="340"/>
      </w:tabs>
    </w:pPr>
  </w:style>
  <w:style w:type="character" w:customStyle="1" w:styleId="WingdingSymbols">
    <w:name w:val="Wingding Symbols"/>
    <w:rsid w:val="00FD2B5F"/>
    <w:rPr>
      <w:rFonts w:ascii="Wingdings" w:hAnsi="Wingdings"/>
    </w:rPr>
  </w:style>
  <w:style w:type="paragraph" w:customStyle="1" w:styleId="TableHeading">
    <w:name w:val="Table Heading"/>
    <w:basedOn w:val="HeadingBase"/>
    <w:rsid w:val="00FD2B5F"/>
    <w:pPr>
      <w:keepLines/>
      <w:pBdr>
        <w:bottom w:val="single" w:sz="6" w:space="1" w:color="918585"/>
      </w:pBdr>
      <w:spacing w:before="240"/>
    </w:pPr>
  </w:style>
  <w:style w:type="character" w:customStyle="1" w:styleId="HotSpot">
    <w:name w:val="HotSpot"/>
    <w:rsid w:val="00FD2B5F"/>
    <w:rPr>
      <w:color w:val="0033CC"/>
      <w:u w:val="none"/>
    </w:rPr>
  </w:style>
  <w:style w:type="paragraph" w:customStyle="1" w:styleId="BodyTextRight">
    <w:name w:val="Body Text Right"/>
    <w:basedOn w:val="BodyText"/>
    <w:rsid w:val="00FD2B5F"/>
    <w:pPr>
      <w:spacing w:before="0" w:after="0"/>
      <w:jc w:val="right"/>
    </w:pPr>
  </w:style>
  <w:style w:type="paragraph" w:styleId="Index3">
    <w:name w:val="index 3"/>
    <w:basedOn w:val="ListNumber2"/>
    <w:next w:val="Normal"/>
    <w:semiHidden/>
    <w:rsid w:val="00FD2B5F"/>
    <w:pPr>
      <w:numPr>
        <w:numId w:val="0"/>
      </w:numPr>
      <w:tabs>
        <w:tab w:val="right" w:leader="dot" w:pos="4176"/>
      </w:tabs>
    </w:pPr>
  </w:style>
  <w:style w:type="paragraph" w:styleId="ListNumber2">
    <w:name w:val="List Number 2"/>
    <w:basedOn w:val="List2"/>
    <w:rsid w:val="00FD2B5F"/>
    <w:pPr>
      <w:numPr>
        <w:numId w:val="10"/>
      </w:numPr>
      <w:tabs>
        <w:tab w:val="clear" w:pos="1060"/>
      </w:tabs>
    </w:pPr>
  </w:style>
  <w:style w:type="paragraph" w:customStyle="1" w:styleId="MarginNote">
    <w:name w:val="Margin Note"/>
    <w:basedOn w:val="BodyText"/>
    <w:rsid w:val="00FD2B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B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2B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2B5F"/>
    <w:rPr>
      <w:sz w:val="32"/>
    </w:rPr>
  </w:style>
  <w:style w:type="paragraph" w:customStyle="1" w:styleId="HeadingProcedure">
    <w:name w:val="Heading Procedure"/>
    <w:basedOn w:val="HeadingBase"/>
    <w:next w:val="Normal"/>
    <w:rsid w:val="00FD2B5F"/>
    <w:pPr>
      <w:tabs>
        <w:tab w:val="left" w:pos="0"/>
      </w:tabs>
      <w:spacing w:before="120" w:after="60"/>
    </w:pPr>
    <w:rPr>
      <w:i/>
      <w:color w:val="918585"/>
      <w:sz w:val="22"/>
    </w:rPr>
  </w:style>
  <w:style w:type="paragraph" w:customStyle="1" w:styleId="TableBodyText">
    <w:name w:val="Table Body Text"/>
    <w:basedOn w:val="BodyText"/>
    <w:rsid w:val="00FD2B5F"/>
    <w:pPr>
      <w:spacing w:before="60" w:after="60"/>
    </w:pPr>
  </w:style>
  <w:style w:type="paragraph" w:styleId="ListContinue">
    <w:name w:val="List Continue"/>
    <w:basedOn w:val="List"/>
    <w:rsid w:val="00FD2B5F"/>
    <w:pPr>
      <w:ind w:firstLine="0"/>
    </w:pPr>
  </w:style>
  <w:style w:type="paragraph" w:customStyle="1" w:styleId="ListNote">
    <w:name w:val="List Note"/>
    <w:basedOn w:val="List"/>
    <w:rsid w:val="00FD2B5F"/>
    <w:pPr>
      <w:pBdr>
        <w:top w:val="single" w:sz="6" w:space="2" w:color="918585"/>
        <w:bottom w:val="single" w:sz="6" w:space="2" w:color="918585"/>
      </w:pBdr>
      <w:tabs>
        <w:tab w:val="left" w:pos="1021"/>
      </w:tabs>
      <w:ind w:firstLine="0"/>
    </w:pPr>
  </w:style>
  <w:style w:type="paragraph" w:customStyle="1" w:styleId="Warning">
    <w:name w:val="Warning"/>
    <w:basedOn w:val="BodyText"/>
    <w:rsid w:val="00FD2B5F"/>
    <w:pPr>
      <w:shd w:val="clear" w:color="auto" w:fill="D9D9D9"/>
      <w:tabs>
        <w:tab w:val="left" w:pos="992"/>
      </w:tabs>
      <w:ind w:left="119" w:right="119"/>
    </w:pPr>
    <w:rPr>
      <w:sz w:val="20"/>
    </w:rPr>
  </w:style>
  <w:style w:type="paragraph" w:customStyle="1" w:styleId="MarginIcons">
    <w:name w:val="Margin Icons"/>
    <w:basedOn w:val="BodyText"/>
    <w:rsid w:val="00FD2B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2B5F"/>
    <w:rPr>
      <w:rFonts w:ascii="Courier New" w:hAnsi="Courier New"/>
    </w:rPr>
  </w:style>
  <w:style w:type="paragraph" w:customStyle="1" w:styleId="NoteBullet">
    <w:name w:val="Note Bullet"/>
    <w:basedOn w:val="Note"/>
    <w:rsid w:val="00FD2B5F"/>
    <w:pPr>
      <w:tabs>
        <w:tab w:val="clear" w:pos="680"/>
      </w:tabs>
      <w:spacing w:before="60" w:after="60"/>
    </w:pPr>
  </w:style>
  <w:style w:type="paragraph" w:customStyle="1" w:styleId="SubHeading2">
    <w:name w:val="SubHeading2"/>
    <w:basedOn w:val="HeadingBase"/>
    <w:rsid w:val="00FD2B5F"/>
    <w:pPr>
      <w:spacing w:before="240" w:after="60"/>
    </w:pPr>
    <w:rPr>
      <w:sz w:val="20"/>
    </w:rPr>
  </w:style>
  <w:style w:type="paragraph" w:customStyle="1" w:styleId="SubHeading1">
    <w:name w:val="SubHeading1"/>
    <w:basedOn w:val="HeadingBase"/>
    <w:rsid w:val="00FD2B5F"/>
    <w:pPr>
      <w:spacing w:before="240" w:after="60"/>
    </w:pPr>
    <w:rPr>
      <w:color w:val="918585"/>
      <w:sz w:val="22"/>
    </w:rPr>
  </w:style>
  <w:style w:type="paragraph" w:customStyle="1" w:styleId="SideHeading">
    <w:name w:val="Side Heading"/>
    <w:basedOn w:val="HeadingBase"/>
    <w:rsid w:val="00FD2B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2B5F"/>
    <w:pPr>
      <w:tabs>
        <w:tab w:val="num" w:pos="360"/>
      </w:tabs>
    </w:pPr>
  </w:style>
  <w:style w:type="paragraph" w:styleId="PlainText">
    <w:name w:val="Plain Text"/>
    <w:basedOn w:val="Normal"/>
    <w:link w:val="PlainTextChar"/>
    <w:rsid w:val="00FD2B5F"/>
    <w:rPr>
      <w:sz w:val="20"/>
    </w:rPr>
  </w:style>
  <w:style w:type="character" w:customStyle="1" w:styleId="PlainTextChar">
    <w:name w:val="Plain Text Char"/>
    <w:basedOn w:val="DefaultParagraphFont"/>
    <w:link w:val="PlainText"/>
    <w:rsid w:val="00FD2B5F"/>
    <w:rPr>
      <w:rFonts w:ascii="Courier New" w:eastAsia="Times New Roman" w:hAnsi="Courier New" w:cs="Times New Roman"/>
      <w:sz w:val="20"/>
      <w:szCs w:val="20"/>
      <w:lang w:eastAsia="en-US"/>
    </w:rPr>
  </w:style>
  <w:style w:type="character" w:customStyle="1" w:styleId="MenuOption">
    <w:name w:val="Menu Option"/>
    <w:basedOn w:val="DefaultParagraphFont"/>
    <w:rsid w:val="00FD2B5F"/>
    <w:rPr>
      <w:b/>
      <w:smallCaps/>
    </w:rPr>
  </w:style>
  <w:style w:type="paragraph" w:customStyle="1" w:styleId="TableListNumber">
    <w:name w:val="Table List Number"/>
    <w:basedOn w:val="ListNumber"/>
    <w:rsid w:val="00FD2B5F"/>
    <w:pPr>
      <w:numPr>
        <w:numId w:val="0"/>
      </w:numPr>
    </w:pPr>
  </w:style>
  <w:style w:type="paragraph" w:styleId="TOC4">
    <w:name w:val="toc 4"/>
    <w:basedOn w:val="TOCBase"/>
    <w:next w:val="Normal"/>
    <w:semiHidden/>
    <w:rsid w:val="00FD2B5F"/>
    <w:pPr>
      <w:tabs>
        <w:tab w:val="right" w:leader="dot" w:pos="9071"/>
      </w:tabs>
      <w:ind w:left="1701"/>
    </w:pPr>
  </w:style>
  <w:style w:type="paragraph" w:customStyle="1" w:styleId="ListAlpha">
    <w:name w:val="List Alpha"/>
    <w:basedOn w:val="List"/>
    <w:rsid w:val="00FD2B5F"/>
    <w:pPr>
      <w:numPr>
        <w:numId w:val="9"/>
      </w:numPr>
    </w:pPr>
  </w:style>
  <w:style w:type="paragraph" w:customStyle="1" w:styleId="ListAlpha2">
    <w:name w:val="List Alpha 2"/>
    <w:basedOn w:val="List2"/>
    <w:rsid w:val="00FD2B5F"/>
    <w:pPr>
      <w:numPr>
        <w:numId w:val="8"/>
      </w:numPr>
    </w:pPr>
  </w:style>
  <w:style w:type="paragraph" w:styleId="List2">
    <w:name w:val="List 2"/>
    <w:basedOn w:val="BodyText"/>
    <w:rsid w:val="00FD2B5F"/>
    <w:pPr>
      <w:tabs>
        <w:tab w:val="left" w:pos="680"/>
      </w:tabs>
      <w:spacing w:before="60" w:after="60"/>
      <w:ind w:left="680" w:hanging="340"/>
    </w:pPr>
  </w:style>
  <w:style w:type="paragraph" w:styleId="List3">
    <w:name w:val="List 3"/>
    <w:basedOn w:val="BodyText"/>
    <w:rsid w:val="00FD2B5F"/>
    <w:pPr>
      <w:tabs>
        <w:tab w:val="left" w:pos="1021"/>
      </w:tabs>
      <w:spacing w:before="60" w:after="60"/>
      <w:ind w:left="1020" w:hanging="340"/>
    </w:pPr>
  </w:style>
  <w:style w:type="paragraph" w:styleId="List4">
    <w:name w:val="List 4"/>
    <w:basedOn w:val="BodyText"/>
    <w:rsid w:val="00FD2B5F"/>
    <w:pPr>
      <w:tabs>
        <w:tab w:val="left" w:pos="1361"/>
      </w:tabs>
      <w:spacing w:before="60" w:after="60"/>
      <w:ind w:left="1361" w:hanging="340"/>
    </w:pPr>
  </w:style>
  <w:style w:type="paragraph" w:styleId="List5">
    <w:name w:val="List 5"/>
    <w:basedOn w:val="BodyText"/>
    <w:rsid w:val="00FD2B5F"/>
    <w:pPr>
      <w:tabs>
        <w:tab w:val="left" w:pos="1701"/>
      </w:tabs>
      <w:spacing w:before="60" w:after="60"/>
      <w:ind w:left="1701" w:hanging="340"/>
    </w:pPr>
  </w:style>
  <w:style w:type="paragraph" w:styleId="ListBullet3">
    <w:name w:val="List Bullet 3"/>
    <w:basedOn w:val="List3"/>
    <w:rsid w:val="00FD2B5F"/>
    <w:pPr>
      <w:numPr>
        <w:numId w:val="14"/>
      </w:numPr>
      <w:tabs>
        <w:tab w:val="clear" w:pos="1021"/>
      </w:tabs>
      <w:ind w:left="1037" w:hanging="357"/>
    </w:pPr>
  </w:style>
  <w:style w:type="paragraph" w:styleId="ListBullet4">
    <w:name w:val="List Bullet 4"/>
    <w:basedOn w:val="List4"/>
    <w:rsid w:val="00FD2B5F"/>
    <w:pPr>
      <w:numPr>
        <w:numId w:val="3"/>
      </w:numPr>
      <w:tabs>
        <w:tab w:val="clear" w:pos="1361"/>
      </w:tabs>
    </w:pPr>
  </w:style>
  <w:style w:type="paragraph" w:styleId="ListBullet5">
    <w:name w:val="List Bullet 5"/>
    <w:basedOn w:val="List5"/>
    <w:rsid w:val="00FD2B5F"/>
    <w:pPr>
      <w:numPr>
        <w:numId w:val="4"/>
      </w:numPr>
    </w:pPr>
  </w:style>
  <w:style w:type="paragraph" w:styleId="ListContinue2">
    <w:name w:val="List Continue 2"/>
    <w:basedOn w:val="List2"/>
    <w:rsid w:val="00FD2B5F"/>
    <w:pPr>
      <w:ind w:firstLine="0"/>
    </w:pPr>
  </w:style>
  <w:style w:type="paragraph" w:styleId="ListContinue3">
    <w:name w:val="List Continue 3"/>
    <w:basedOn w:val="List3"/>
    <w:rsid w:val="00FD2B5F"/>
    <w:pPr>
      <w:ind w:left="1021" w:firstLine="0"/>
    </w:pPr>
  </w:style>
  <w:style w:type="paragraph" w:styleId="ListContinue4">
    <w:name w:val="List Continue 4"/>
    <w:basedOn w:val="List4"/>
    <w:rsid w:val="00FD2B5F"/>
    <w:pPr>
      <w:ind w:firstLine="0"/>
    </w:pPr>
  </w:style>
  <w:style w:type="paragraph" w:styleId="ListContinue5">
    <w:name w:val="List Continue 5"/>
    <w:basedOn w:val="List5"/>
    <w:rsid w:val="00FD2B5F"/>
    <w:pPr>
      <w:ind w:firstLine="0"/>
    </w:pPr>
  </w:style>
  <w:style w:type="paragraph" w:styleId="ListNumber3">
    <w:name w:val="List Number 3"/>
    <w:basedOn w:val="List3"/>
    <w:rsid w:val="00FD2B5F"/>
    <w:pPr>
      <w:numPr>
        <w:numId w:val="5"/>
      </w:numPr>
    </w:pPr>
  </w:style>
  <w:style w:type="paragraph" w:styleId="ListNumber4">
    <w:name w:val="List Number 4"/>
    <w:basedOn w:val="List4"/>
    <w:rsid w:val="00FD2B5F"/>
    <w:pPr>
      <w:numPr>
        <w:numId w:val="6"/>
      </w:numPr>
    </w:pPr>
  </w:style>
  <w:style w:type="paragraph" w:styleId="ListNumber5">
    <w:name w:val="List Number 5"/>
    <w:basedOn w:val="List5"/>
    <w:rsid w:val="00FD2B5F"/>
    <w:pPr>
      <w:numPr>
        <w:numId w:val="7"/>
      </w:numPr>
    </w:pPr>
  </w:style>
  <w:style w:type="paragraph" w:styleId="BlockText">
    <w:name w:val="Block Text"/>
    <w:basedOn w:val="Normal"/>
    <w:rsid w:val="00FD2B5F"/>
    <w:pPr>
      <w:spacing w:after="120"/>
      <w:ind w:left="1440" w:right="1440"/>
    </w:pPr>
  </w:style>
  <w:style w:type="character" w:customStyle="1" w:styleId="Subscript">
    <w:name w:val="Subscript"/>
    <w:basedOn w:val="DefaultParagraphFont"/>
    <w:rsid w:val="00FD2B5F"/>
    <w:rPr>
      <w:sz w:val="16"/>
      <w:vertAlign w:val="subscript"/>
    </w:rPr>
  </w:style>
  <w:style w:type="character" w:customStyle="1" w:styleId="Superscript">
    <w:name w:val="Superscript"/>
    <w:basedOn w:val="DefaultParagraphFont"/>
    <w:rsid w:val="00FD2B5F"/>
    <w:rPr>
      <w:sz w:val="16"/>
      <w:vertAlign w:val="superscript"/>
    </w:rPr>
  </w:style>
  <w:style w:type="character" w:customStyle="1" w:styleId="Symbols">
    <w:name w:val="Symbols"/>
    <w:basedOn w:val="DefaultParagraphFont"/>
    <w:rsid w:val="00FD2B5F"/>
    <w:rPr>
      <w:rFonts w:ascii="Symbol" w:hAnsi="Symbol"/>
    </w:rPr>
  </w:style>
  <w:style w:type="character" w:customStyle="1" w:styleId="MenuOptions">
    <w:name w:val="Menu Options"/>
    <w:basedOn w:val="DefaultParagraphFont"/>
    <w:rsid w:val="00FD2B5F"/>
    <w:rPr>
      <w:rFonts w:ascii="Arial Narrow" w:hAnsi="Arial Narrow"/>
      <w:smallCaps/>
    </w:rPr>
  </w:style>
  <w:style w:type="character" w:customStyle="1" w:styleId="Buttons">
    <w:name w:val="Buttons"/>
    <w:basedOn w:val="DefaultParagraphFont"/>
    <w:rsid w:val="00FD2B5F"/>
    <w:rPr>
      <w:b/>
    </w:rPr>
  </w:style>
  <w:style w:type="character" w:customStyle="1" w:styleId="Underlined">
    <w:name w:val="Underlined"/>
    <w:basedOn w:val="DefaultParagraphFont"/>
    <w:rsid w:val="00FD2B5F"/>
    <w:rPr>
      <w:u w:val="single"/>
    </w:rPr>
  </w:style>
  <w:style w:type="paragraph" w:customStyle="1" w:styleId="TableBodyTextRight">
    <w:name w:val="Table Body Text Right"/>
    <w:basedOn w:val="TableBodyText"/>
    <w:rsid w:val="00FD2B5F"/>
    <w:pPr>
      <w:widowControl w:val="0"/>
      <w:autoSpaceDE w:val="0"/>
      <w:autoSpaceDN w:val="0"/>
      <w:adjustRightInd w:val="0"/>
      <w:jc w:val="right"/>
    </w:pPr>
    <w:rPr>
      <w:rFonts w:cs="Arial"/>
      <w:szCs w:val="18"/>
    </w:rPr>
  </w:style>
  <w:style w:type="paragraph" w:customStyle="1" w:styleId="CopyrightText">
    <w:name w:val="Copyright Text"/>
    <w:basedOn w:val="BodyText"/>
    <w:rsid w:val="00FD2B5F"/>
    <w:rPr>
      <w:sz w:val="18"/>
    </w:rPr>
  </w:style>
  <w:style w:type="paragraph" w:customStyle="1" w:styleId="BodySmallRight">
    <w:name w:val="Body Small Right"/>
    <w:basedOn w:val="BodyTextRight"/>
    <w:rsid w:val="00FD2B5F"/>
    <w:rPr>
      <w:sz w:val="18"/>
      <w:szCs w:val="18"/>
    </w:rPr>
  </w:style>
  <w:style w:type="paragraph" w:customStyle="1" w:styleId="MarginEdition">
    <w:name w:val="Margin Edition"/>
    <w:basedOn w:val="MarginNote"/>
    <w:rsid w:val="00FD2B5F"/>
    <w:pPr>
      <w:spacing w:before="0" w:after="0"/>
    </w:pPr>
    <w:rPr>
      <w:rFonts w:ascii="Times New Roman" w:hAnsi="Times New Roman"/>
      <w:color w:val="999999"/>
    </w:rPr>
  </w:style>
  <w:style w:type="paragraph" w:customStyle="1" w:styleId="Spacer">
    <w:name w:val="Spacer"/>
    <w:basedOn w:val="Normal"/>
    <w:rsid w:val="00FD2B5F"/>
    <w:rPr>
      <w:sz w:val="2"/>
      <w:szCs w:val="2"/>
    </w:rPr>
  </w:style>
  <w:style w:type="character" w:customStyle="1" w:styleId="Small">
    <w:name w:val="Small"/>
    <w:basedOn w:val="DefaultParagraphFont"/>
    <w:rsid w:val="00FD2B5F"/>
    <w:rPr>
      <w:sz w:val="16"/>
    </w:rPr>
  </w:style>
  <w:style w:type="paragraph" w:customStyle="1" w:styleId="WideTable">
    <w:name w:val="Wide Table"/>
    <w:basedOn w:val="Normal"/>
    <w:rsid w:val="00FD2B5F"/>
    <w:pPr>
      <w:ind w:left="-1418"/>
    </w:pPr>
    <w:rPr>
      <w:sz w:val="2"/>
      <w:szCs w:val="2"/>
    </w:rPr>
  </w:style>
  <w:style w:type="character" w:styleId="PageNumber">
    <w:name w:val="page number"/>
    <w:basedOn w:val="DefaultParagraphFont"/>
    <w:rsid w:val="00FD2B5F"/>
  </w:style>
  <w:style w:type="paragraph" w:styleId="Quote">
    <w:name w:val="Quote"/>
    <w:basedOn w:val="Heading1"/>
    <w:link w:val="QuoteChar"/>
    <w:qFormat/>
    <w:rsid w:val="00FD2B5F"/>
    <w:rPr>
      <w:b w:val="0"/>
      <w:sz w:val="72"/>
      <w:szCs w:val="72"/>
      <w:lang w:val="en-NZ"/>
    </w:rPr>
  </w:style>
  <w:style w:type="character" w:customStyle="1" w:styleId="QuoteChar">
    <w:name w:val="Quote Char"/>
    <w:basedOn w:val="DefaultParagraphFont"/>
    <w:link w:val="Quote"/>
    <w:rsid w:val="00FD2B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B5F"/>
    <w:pPr>
      <w:pageBreakBefore/>
    </w:pPr>
  </w:style>
  <w:style w:type="paragraph" w:customStyle="1" w:styleId="Border">
    <w:name w:val="Border"/>
    <w:basedOn w:val="Normal"/>
    <w:qFormat/>
    <w:rsid w:val="00FD2B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2B5F"/>
    <w:rPr>
      <w:b/>
      <w:bCs/>
      <w:i/>
      <w:iCs/>
      <w:color w:val="auto"/>
    </w:rPr>
  </w:style>
  <w:style w:type="paragraph" w:styleId="IntenseQuote">
    <w:name w:val="Intense Quote"/>
    <w:basedOn w:val="Normal"/>
    <w:next w:val="Normal"/>
    <w:link w:val="IntenseQuoteChar"/>
    <w:uiPriority w:val="30"/>
    <w:qFormat/>
    <w:rsid w:val="00FD2B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2B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2B5F"/>
    <w:rPr>
      <w:smallCaps/>
      <w:color w:val="auto"/>
      <w:u w:val="single"/>
    </w:rPr>
  </w:style>
  <w:style w:type="character" w:styleId="IntenseReference">
    <w:name w:val="Intense Reference"/>
    <w:basedOn w:val="DefaultParagraphFont"/>
    <w:uiPriority w:val="32"/>
    <w:qFormat/>
    <w:rsid w:val="00FD2B5F"/>
    <w:rPr>
      <w:b/>
      <w:bCs/>
      <w:smallCaps/>
      <w:color w:val="auto"/>
      <w:spacing w:val="5"/>
      <w:u w:val="single"/>
    </w:rPr>
  </w:style>
  <w:style w:type="paragraph" w:customStyle="1" w:styleId="2ColumnHeading">
    <w:name w:val="2Column Heading"/>
    <w:basedOn w:val="BodyText"/>
    <w:qFormat/>
    <w:rsid w:val="00FD2B5F"/>
    <w:pPr>
      <w:spacing w:after="60"/>
      <w:ind w:left="-2268"/>
    </w:pPr>
    <w:rPr>
      <w:b/>
    </w:rPr>
  </w:style>
  <w:style w:type="paragraph" w:customStyle="1" w:styleId="Heading1TOC">
    <w:name w:val="Heading1 TOC"/>
    <w:basedOn w:val="Normal"/>
    <w:qFormat/>
    <w:rsid w:val="00FD2B5F"/>
    <w:pPr>
      <w:spacing w:before="240" w:after="120"/>
    </w:pPr>
    <w:rPr>
      <w:rFonts w:ascii="Times New Roman" w:hAnsi="Times New Roman"/>
      <w:b/>
      <w:sz w:val="32"/>
    </w:rPr>
  </w:style>
  <w:style w:type="paragraph" w:customStyle="1" w:styleId="Heading2TOC">
    <w:name w:val="Heading2 TOC"/>
    <w:basedOn w:val="Normal"/>
    <w:qFormat/>
    <w:rsid w:val="00FD2B5F"/>
    <w:pPr>
      <w:spacing w:before="240" w:after="60"/>
    </w:pPr>
    <w:rPr>
      <w:rFonts w:ascii="Times New Roman" w:hAnsi="Times New Roman"/>
      <w:b/>
      <w:sz w:val="28"/>
    </w:rPr>
  </w:style>
  <w:style w:type="character" w:customStyle="1" w:styleId="Underline">
    <w:name w:val="Underline"/>
    <w:basedOn w:val="DefaultParagraphFont"/>
    <w:qFormat/>
    <w:rsid w:val="00FD2B5F"/>
    <w:rPr>
      <w:u w:val="single"/>
    </w:rPr>
  </w:style>
  <w:style w:type="character" w:customStyle="1" w:styleId="BoldandItalics">
    <w:name w:val="Bold and Italics"/>
    <w:qFormat/>
    <w:rsid w:val="00FD2B5F"/>
    <w:rPr>
      <w:b/>
      <w:i/>
      <w:u w:val="none"/>
    </w:rPr>
  </w:style>
  <w:style w:type="paragraph" w:styleId="BalloonText">
    <w:name w:val="Balloon Text"/>
    <w:basedOn w:val="Normal"/>
    <w:link w:val="BalloonTextChar"/>
    <w:rsid w:val="00FD2B5F"/>
    <w:rPr>
      <w:rFonts w:ascii="Tahoma" w:hAnsi="Tahoma" w:cs="Tahoma"/>
      <w:sz w:val="16"/>
      <w:szCs w:val="16"/>
    </w:rPr>
  </w:style>
  <w:style w:type="character" w:customStyle="1" w:styleId="BalloonTextChar">
    <w:name w:val="Balloon Text Char"/>
    <w:basedOn w:val="DefaultParagraphFont"/>
    <w:link w:val="BalloonText"/>
    <w:rsid w:val="00FD2B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2B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2B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2B5F"/>
    <w:rPr>
      <w:b/>
      <w:color w:val="660033"/>
      <w:spacing w:val="0"/>
    </w:rPr>
  </w:style>
  <w:style w:type="paragraph" w:customStyle="1" w:styleId="Nameditemlist">
    <w:name w:val="Named item list"/>
    <w:basedOn w:val="BodyText"/>
    <w:qFormat/>
    <w:rsid w:val="00FD2B5F"/>
    <w:pPr>
      <w:tabs>
        <w:tab w:val="left" w:pos="2835"/>
      </w:tabs>
      <w:ind w:left="2835" w:hanging="2835"/>
    </w:pPr>
  </w:style>
  <w:style w:type="paragraph" w:customStyle="1" w:styleId="BodyTextnopadding">
    <w:name w:val="Body Text no padding"/>
    <w:basedOn w:val="BodyText"/>
    <w:qFormat/>
    <w:rsid w:val="00FD2B5F"/>
    <w:pPr>
      <w:spacing w:before="0" w:after="0"/>
    </w:pPr>
  </w:style>
  <w:style w:type="paragraph" w:customStyle="1" w:styleId="BodyTextBold">
    <w:name w:val="Body Text Bold"/>
    <w:basedOn w:val="BodyText"/>
    <w:qFormat/>
    <w:rsid w:val="00FD2B5F"/>
    <w:rPr>
      <w:b/>
    </w:rPr>
  </w:style>
  <w:style w:type="character" w:styleId="Hyperlink">
    <w:name w:val="Hyperlink"/>
    <w:basedOn w:val="DefaultParagraphFont"/>
    <w:uiPriority w:val="99"/>
    <w:unhideWhenUsed/>
    <w:rsid w:val="005423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1324</Words>
  <Characters>8784</Characters>
  <Application>Microsoft Office Word</Application>
  <DocSecurity>0</DocSecurity>
  <Lines>337</Lines>
  <Paragraphs>206</Paragraphs>
  <ScaleCrop>false</ScaleCrop>
  <Company>Author-it Software Corporation Ltd.</Company>
  <LinksUpToDate>false</LinksUpToDate>
  <CharactersWithSpaces>9902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MSFKB4001 Determine spatial planning considerations for kitchen design</dc:title>
  <dc:subject>Approved</dc:subject>
  <dc:creator>Skills Insight</dc:creator>
  <cp:keywords>Release: 1</cp:keywords>
  <dc:description>Review Date: 12 April 2008</dc:description>
  <cp:lastModifiedBy>HSD_TPCMSd.prod</cp:lastModifiedBy>
  <cp:revision>3</cp:revision>
  <dcterms:created xsi:type="dcterms:W3CDTF">2025-03-01T11:49:00Z</dcterms:created>
  <dcterms:modified xsi:type="dcterms:W3CDTF">2025-03-01T11:49:00Z</dcterms:modified>
</cp:coreProperties>
</file>