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07EF" w:rsidP="002207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MSFID6016 Select and monitor contractors</w:t>
      </w:r>
      <w:r>
        <w:fldChar w:fldCharType="end"/>
      </w:r>
    </w:p>
    <w:p w:rsidR="002207EF" w:rsidP="002207EF">
      <w:pPr>
        <w:pStyle w:val="Version"/>
        <w:sectPr w:rsidSect="00AB3B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3B3A" w:rsidP="00AB3B3A">
      <w:pPr>
        <w:pStyle w:val="SuperHeading"/>
      </w:pPr>
      <w:r w:rsidRPr="00AB3B3A">
        <w:t>Assessment Requirements for MSFID6016 Select and monitor contractors</w:t>
      </w:r>
    </w:p>
    <w:p w:rsidR="00000000" w:rsidRPr="00AB3B3A" w:rsidP="00AB3B3A">
      <w:pPr>
        <w:pStyle w:val="Heading1"/>
      </w:pPr>
      <w:bookmarkStart w:id="1" w:name="O_1015504"/>
      <w:bookmarkEnd w:id="1"/>
      <w:r w:rsidRPr="00AB3B3A">
        <w:t>Modification History</w:t>
      </w:r>
    </w:p>
    <w:p w:rsidR="002207EF" w:rsidP="002207EF">
      <w:pPr>
        <w:pStyle w:val="BodyText"/>
      </w:pPr>
      <w:r w:rsidRPr="00AB3B3A">
        <w:t>Release 1. Supersedes and is equivalent to MSFID6007 Select and instruct consultants and contractors.</w:t>
      </w:r>
    </w:p>
    <w:p w:rsidR="00000000" w:rsidRPr="00AB3B3A" w:rsidP="00AB3B3A">
      <w:pPr>
        <w:pStyle w:val="Heading1"/>
      </w:pPr>
      <w:bookmarkStart w:id="2" w:name="O_1015505"/>
      <w:bookmarkEnd w:id="2"/>
      <w:r w:rsidRPr="00AB3B3A">
        <w:t>Performance Evidence</w:t>
      </w:r>
    </w:p>
    <w:p w:rsidR="00000000" w:rsidRPr="00AB3B3A" w:rsidP="002207EF">
      <w:pPr>
        <w:pStyle w:val="BodyText"/>
      </w:pPr>
      <w:r w:rsidRPr="00AB3B3A">
        <w:t xml:space="preserve">There must be evidence the candidate has completed the tasks outlined in the elements and performance criteria of this unit, and: </w:t>
      </w:r>
    </w:p>
    <w:p w:rsidR="002207EF" w:rsidP="00AB3B3A">
      <w:pPr>
        <w:pStyle w:val="ListBullet"/>
      </w:pPr>
      <w:r w:rsidRPr="00AB3B3A">
        <w:t xml:space="preserve">selected and scheduled contractors for 3 different interior design or decoration projects that individually or cumulatively </w:t>
      </w:r>
      <w:r w:rsidRPr="00AB3B3A">
        <w:t>require 3 different services.</w:t>
      </w:r>
    </w:p>
    <w:p w:rsidR="002207EF" w:rsidP="00AB3B3A">
      <w:pPr>
        <w:pStyle w:val="ListBullet"/>
      </w:pPr>
    </w:p>
    <w:p w:rsidR="00000000" w:rsidRPr="00AB3B3A" w:rsidP="00AB3B3A">
      <w:pPr>
        <w:pStyle w:val="Heading1"/>
      </w:pPr>
      <w:bookmarkStart w:id="3" w:name="O_1015506"/>
      <w:bookmarkEnd w:id="3"/>
      <w:r w:rsidRPr="00AB3B3A">
        <w:t>Knowledge Evidence</w:t>
      </w:r>
    </w:p>
    <w:p w:rsidR="00000000" w:rsidRPr="00AB3B3A" w:rsidP="002207EF">
      <w:pPr>
        <w:pStyle w:val="BodyText"/>
      </w:pPr>
      <w:r w:rsidRPr="00AB3B3A">
        <w:t>There must be evidence the candidate has knowledge of:</w:t>
      </w:r>
    </w:p>
    <w:p w:rsidR="00000000" w:rsidRPr="00AB3B3A" w:rsidP="00AB3B3A">
      <w:pPr>
        <w:pStyle w:val="ListBullet"/>
      </w:pPr>
      <w:r w:rsidRPr="00AB3B3A">
        <w:t>types of contractors used in interior decoration and design projects, and the interrelationships between them</w:t>
      </w:r>
    </w:p>
    <w:p w:rsidR="00000000" w:rsidRPr="00AB3B3A" w:rsidP="00AB3B3A">
      <w:pPr>
        <w:pStyle w:val="ListBullet"/>
      </w:pPr>
      <w:r w:rsidRPr="00AB3B3A">
        <w:t>mathematical procedur</w:t>
      </w:r>
      <w:r w:rsidRPr="00AB3B3A">
        <w:t>es for estimation, measurement and quotation evaluation</w:t>
      </w:r>
    </w:p>
    <w:p w:rsidR="00000000" w:rsidRPr="00AB3B3A" w:rsidP="00AB3B3A">
      <w:pPr>
        <w:pStyle w:val="ListBullet"/>
      </w:pPr>
      <w:r w:rsidRPr="00AB3B3A">
        <w:t>considerations for the engagement and management of contractors:</w:t>
      </w:r>
    </w:p>
    <w:p w:rsidR="00000000" w:rsidRPr="00AB3B3A" w:rsidP="00AB3B3A">
      <w:pPr>
        <w:pStyle w:val="ListBullet2"/>
      </w:pPr>
      <w:r w:rsidRPr="00AB3B3A">
        <w:t>regulatory:</w:t>
      </w:r>
    </w:p>
    <w:p w:rsidR="00000000" w:rsidRPr="00AB3B3A" w:rsidP="00AB3B3A">
      <w:pPr>
        <w:pStyle w:val="ListBullet3"/>
      </w:pPr>
      <w:r w:rsidRPr="00AB3B3A">
        <w:t xml:space="preserve">Australian Standards and the National Construction Code </w:t>
      </w:r>
    </w:p>
    <w:p w:rsidR="00000000" w:rsidRPr="00AB3B3A" w:rsidP="00AB3B3A">
      <w:pPr>
        <w:pStyle w:val="ListBullet3"/>
      </w:pPr>
      <w:r w:rsidRPr="00AB3B3A">
        <w:t>local government planning approval</w:t>
      </w:r>
    </w:p>
    <w:p w:rsidR="00000000" w:rsidRPr="00AB3B3A" w:rsidP="00AB3B3A">
      <w:pPr>
        <w:pStyle w:val="ListBullet3"/>
      </w:pPr>
      <w:r w:rsidRPr="00AB3B3A">
        <w:t>work site entry legislation</w:t>
      </w:r>
    </w:p>
    <w:p w:rsidR="00000000" w:rsidRPr="00AB3B3A" w:rsidP="00AB3B3A">
      <w:pPr>
        <w:pStyle w:val="ListBullet3"/>
      </w:pPr>
      <w:r w:rsidRPr="00AB3B3A">
        <w:t>licensing</w:t>
      </w:r>
    </w:p>
    <w:p w:rsidR="00000000" w:rsidRPr="00AB3B3A" w:rsidP="00AB3B3A">
      <w:pPr>
        <w:pStyle w:val="ListBullet3"/>
      </w:pPr>
      <w:r w:rsidRPr="00AB3B3A">
        <w:t>heritage regulations</w:t>
      </w:r>
    </w:p>
    <w:p w:rsidR="00000000" w:rsidRPr="00AB3B3A" w:rsidP="00AB3B3A">
      <w:pPr>
        <w:pStyle w:val="ListBullet2"/>
      </w:pPr>
      <w:r w:rsidRPr="00AB3B3A">
        <w:t xml:space="preserve">sustainability </w:t>
      </w:r>
    </w:p>
    <w:p w:rsidR="00000000" w:rsidRPr="00AB3B3A" w:rsidP="00AB3B3A">
      <w:pPr>
        <w:pStyle w:val="ListBullet"/>
      </w:pPr>
      <w:r w:rsidRPr="00AB3B3A">
        <w:t>sources of information on interior design related services and products</w:t>
      </w:r>
    </w:p>
    <w:p w:rsidR="00000000" w:rsidRPr="00AB3B3A" w:rsidP="00AB3B3A">
      <w:pPr>
        <w:pStyle w:val="ListBullet"/>
      </w:pPr>
      <w:r w:rsidRPr="00AB3B3A">
        <w:t>product and service terminology, features and options, current technology and risk considerations in these key service areas:</w:t>
      </w:r>
    </w:p>
    <w:p w:rsidR="00000000" w:rsidRPr="00AB3B3A" w:rsidP="00AB3B3A">
      <w:pPr>
        <w:pStyle w:val="ListBullet2"/>
      </w:pPr>
      <w:r w:rsidRPr="00AB3B3A">
        <w:t>building and construction</w:t>
      </w:r>
    </w:p>
    <w:p w:rsidR="00000000" w:rsidRPr="00AB3B3A" w:rsidP="00AB3B3A">
      <w:pPr>
        <w:pStyle w:val="ListBullet2"/>
      </w:pPr>
      <w:r w:rsidRPr="00AB3B3A">
        <w:t>cabinetmakers</w:t>
      </w:r>
    </w:p>
    <w:p w:rsidR="00000000" w:rsidRPr="00AB3B3A" w:rsidP="00AB3B3A">
      <w:pPr>
        <w:pStyle w:val="ListBullet2"/>
      </w:pPr>
      <w:r w:rsidRPr="00AB3B3A">
        <w:t>design</w:t>
      </w:r>
    </w:p>
    <w:p w:rsidR="00000000" w:rsidRPr="00AB3B3A" w:rsidP="00AB3B3A">
      <w:pPr>
        <w:pStyle w:val="ListBullet2"/>
      </w:pPr>
      <w:r w:rsidRPr="00AB3B3A">
        <w:t>electrical</w:t>
      </w:r>
    </w:p>
    <w:p w:rsidR="00000000" w:rsidRPr="00AB3B3A" w:rsidP="00AB3B3A">
      <w:pPr>
        <w:pStyle w:val="ListBullet2"/>
      </w:pPr>
      <w:r w:rsidRPr="00AB3B3A">
        <w:t>floor installation and finishing</w:t>
      </w:r>
    </w:p>
    <w:p w:rsidR="00000000" w:rsidRPr="00AB3B3A" w:rsidP="00AB3B3A">
      <w:pPr>
        <w:pStyle w:val="ListBullet2"/>
      </w:pPr>
      <w:r w:rsidRPr="00AB3B3A">
        <w:t>painting</w:t>
      </w:r>
    </w:p>
    <w:p w:rsidR="00000000" w:rsidRPr="00AB3B3A" w:rsidP="00AB3B3A">
      <w:pPr>
        <w:pStyle w:val="ListBullet2"/>
      </w:pPr>
      <w:r w:rsidRPr="00AB3B3A">
        <w:t>picture framing</w:t>
      </w:r>
    </w:p>
    <w:p w:rsidR="00000000" w:rsidRPr="00AB3B3A" w:rsidP="00AB3B3A">
      <w:pPr>
        <w:pStyle w:val="ListBullet2"/>
      </w:pPr>
      <w:r w:rsidRPr="00AB3B3A">
        <w:t>plastering</w:t>
      </w:r>
    </w:p>
    <w:p w:rsidR="00000000" w:rsidRPr="00AB3B3A" w:rsidP="00AB3B3A">
      <w:pPr>
        <w:pStyle w:val="ListBullet2"/>
      </w:pPr>
      <w:r w:rsidRPr="00AB3B3A">
        <w:t>plumbing</w:t>
      </w:r>
    </w:p>
    <w:p w:rsidR="00000000" w:rsidRPr="00AB3B3A" w:rsidP="00AB3B3A">
      <w:pPr>
        <w:pStyle w:val="ListBullet2"/>
      </w:pPr>
      <w:r w:rsidRPr="00AB3B3A">
        <w:t xml:space="preserve">soft furnishing </w:t>
      </w:r>
    </w:p>
    <w:p w:rsidR="00000000" w:rsidRPr="00AB3B3A" w:rsidP="00AB3B3A">
      <w:pPr>
        <w:pStyle w:val="ListBullet2"/>
      </w:pPr>
      <w:r w:rsidRPr="00AB3B3A">
        <w:t>tiling</w:t>
      </w:r>
    </w:p>
    <w:p w:rsidR="00000000" w:rsidRPr="00AB3B3A" w:rsidP="00AB3B3A">
      <w:pPr>
        <w:pStyle w:val="ListBullet"/>
      </w:pPr>
      <w:r w:rsidRPr="00AB3B3A">
        <w:t xml:space="preserve">requirements for contractor briefing and specification documents </w:t>
      </w:r>
    </w:p>
    <w:p w:rsidR="00000000" w:rsidRPr="00AB3B3A" w:rsidP="00AB3B3A">
      <w:pPr>
        <w:pStyle w:val="ListBullet"/>
      </w:pPr>
      <w:r w:rsidRPr="00AB3B3A">
        <w:t>formats and inclusions for wr</w:t>
      </w:r>
      <w:r w:rsidRPr="00AB3B3A">
        <w:t>itten agreements in interior design and decoration projects</w:t>
      </w:r>
    </w:p>
    <w:p w:rsidR="00000000" w:rsidRPr="00AB3B3A" w:rsidP="00AB3B3A">
      <w:pPr>
        <w:pStyle w:val="ListBullet"/>
      </w:pPr>
      <w:r w:rsidRPr="00AB3B3A">
        <w:t>insurance implications of engaging contractors</w:t>
      </w:r>
    </w:p>
    <w:p w:rsidR="00000000" w:rsidRPr="00AB3B3A" w:rsidP="00AB3B3A">
      <w:pPr>
        <w:pStyle w:val="ListBullet"/>
      </w:pPr>
      <w:r w:rsidRPr="00AB3B3A">
        <w:t>project management techniques, including planning and implementation.</w:t>
      </w:r>
    </w:p>
    <w:p w:rsidR="00000000" w:rsidRPr="00AB3B3A" w:rsidP="00AB3B3A">
      <w:pPr>
        <w:pStyle w:val="AllowPageBreak"/>
      </w:pPr>
    </w:p>
    <w:p w:rsidR="00000000" w:rsidRPr="00AB3B3A" w:rsidP="00AB3B3A">
      <w:pPr>
        <w:pStyle w:val="Heading1"/>
      </w:pPr>
      <w:bookmarkStart w:id="4" w:name="O_1015507"/>
      <w:bookmarkEnd w:id="4"/>
      <w:r w:rsidRPr="00AB3B3A">
        <w:t>Assessment Conditions</w:t>
      </w:r>
    </w:p>
    <w:p w:rsidR="00000000" w:rsidRPr="00AB3B3A" w:rsidP="002207EF">
      <w:pPr>
        <w:pStyle w:val="BodyText"/>
      </w:pPr>
      <w:r w:rsidRPr="00AB3B3A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AB3B3A" w:rsidP="00AB3B3A">
      <w:pPr>
        <w:pStyle w:val="ListBullet"/>
      </w:pPr>
      <w:r w:rsidRPr="00AB3B3A">
        <w:t xml:space="preserve">use of suitable facilities, equipment and resources, including: </w:t>
      </w:r>
    </w:p>
    <w:p w:rsidR="00000000" w:rsidRPr="00AB3B3A" w:rsidP="00AB3B3A">
      <w:pPr>
        <w:pStyle w:val="ListBullet2"/>
      </w:pPr>
      <w:r w:rsidRPr="00AB3B3A">
        <w:t>proposed designs</w:t>
      </w:r>
    </w:p>
    <w:p w:rsidR="00000000" w:rsidRPr="00AB3B3A" w:rsidP="00AB3B3A">
      <w:pPr>
        <w:pStyle w:val="ListBullet2"/>
      </w:pPr>
      <w:r w:rsidRPr="00AB3B3A">
        <w:t>information technology for research and document creation.</w:t>
      </w:r>
    </w:p>
    <w:p w:rsidR="00000000" w:rsidRPr="00AB3B3A" w:rsidP="002207EF">
      <w:pPr>
        <w:pStyle w:val="BodyText"/>
      </w:pPr>
      <w:r w:rsidRPr="00AB3B3A">
        <w:t>Assessors must satisfy the NVR/AQTF mandatory competency requirements for assessors.</w:t>
      </w:r>
    </w:p>
    <w:p w:rsidR="00000000" w:rsidRPr="00AB3B3A" w:rsidP="00AB3B3A">
      <w:pPr>
        <w:pStyle w:val="Heading1"/>
      </w:pPr>
      <w:bookmarkStart w:id="5" w:name="O_1015510"/>
      <w:bookmarkEnd w:id="5"/>
      <w:r w:rsidRPr="00AB3B3A">
        <w:t>Links</w:t>
      </w:r>
    </w:p>
    <w:p w:rsidR="00000000" w:rsidRPr="00AB3B3A" w:rsidP="002207EF">
      <w:pPr>
        <w:pStyle w:val="BodyText"/>
      </w:pPr>
      <w:r w:rsidRPr="00AB3B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3509F6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AB3B3A" w:rsidP="00AB3B3A"/>
    <w:sectPr w:rsidSect="00AB3B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B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B3A" w:rsidRPr="002207EF" w:rsidP="002207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B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7EF" w:rsidP="00AB3B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207EF" w:rsidP="00AB3B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207EF" w:rsidP="00AB3B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B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7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3B3A" w:rsidRPr="002207EF" w:rsidP="002207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B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7EF" w:rsidRPr="002D2AF8" w:rsidP="00AB3B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MSFID6016 Select and monitor contractors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2207EF" w:rsidP="00AB3B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9457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27C28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0320C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3B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3B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3B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3B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3B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3B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3B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3B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3B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3B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3B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3B3A"/>
  </w:style>
  <w:style w:type="character" w:customStyle="1" w:styleId="Heading1Char">
    <w:name w:val="Heading 1 Char"/>
    <w:basedOn w:val="DefaultParagraphFont"/>
    <w:link w:val="Heading1"/>
    <w:rsid w:val="00AB3B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3B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3B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3B3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B3B3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B3B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3B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B3B3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B3B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3B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3B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3B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3B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3B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3B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3B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3B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3B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3B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3B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3B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3B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3B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3B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3B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3B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3B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3B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B3B3A"/>
    <w:rPr>
      <w:b/>
      <w:spacing w:val="0"/>
    </w:rPr>
  </w:style>
  <w:style w:type="paragraph" w:customStyle="1" w:styleId="SuperTitle">
    <w:name w:val="SuperTitle"/>
    <w:basedOn w:val="Title"/>
    <w:rsid w:val="00AB3B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3B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3B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B3B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3B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3B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3B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3B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3B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3B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3B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3B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3B3A"/>
    <w:rPr>
      <w:i/>
    </w:rPr>
  </w:style>
  <w:style w:type="paragraph" w:styleId="Caption">
    <w:name w:val="caption"/>
    <w:basedOn w:val="BodyText"/>
    <w:next w:val="Normal"/>
    <w:qFormat/>
    <w:rsid w:val="00AB3B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3B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3B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3B3A"/>
  </w:style>
  <w:style w:type="paragraph" w:styleId="TableofFigures">
    <w:name w:val="table of figures"/>
    <w:basedOn w:val="Normal"/>
    <w:next w:val="Normal"/>
    <w:semiHidden/>
    <w:rsid w:val="00AB3B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3B3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B3B3A"/>
    <w:rPr>
      <w:rFonts w:ascii="Wingdings" w:hAnsi="Wingdings"/>
    </w:rPr>
  </w:style>
  <w:style w:type="paragraph" w:customStyle="1" w:styleId="TableHeading">
    <w:name w:val="Table Heading"/>
    <w:basedOn w:val="HeadingBase"/>
    <w:rsid w:val="00AB3B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3B3A"/>
    <w:rPr>
      <w:color w:val="0033CC"/>
      <w:u w:val="none"/>
    </w:rPr>
  </w:style>
  <w:style w:type="paragraph" w:customStyle="1" w:styleId="BodyTextRight">
    <w:name w:val="Body Text Right"/>
    <w:basedOn w:val="BodyText"/>
    <w:rsid w:val="00AB3B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3B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3B3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3B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3B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3B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3B3A"/>
    <w:rPr>
      <w:sz w:val="32"/>
    </w:rPr>
  </w:style>
  <w:style w:type="paragraph" w:customStyle="1" w:styleId="HeadingProcedure">
    <w:name w:val="Heading Procedure"/>
    <w:basedOn w:val="HeadingBase"/>
    <w:next w:val="Normal"/>
    <w:rsid w:val="00AB3B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3B3A"/>
    <w:pPr>
      <w:spacing w:before="60" w:after="60"/>
    </w:pPr>
  </w:style>
  <w:style w:type="paragraph" w:styleId="ListContinue">
    <w:name w:val="List Continue"/>
    <w:basedOn w:val="List"/>
    <w:rsid w:val="00AB3B3A"/>
    <w:pPr>
      <w:ind w:firstLine="0"/>
    </w:pPr>
  </w:style>
  <w:style w:type="paragraph" w:customStyle="1" w:styleId="ListNote">
    <w:name w:val="List Note"/>
    <w:basedOn w:val="List"/>
    <w:rsid w:val="00AB3B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3B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3B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3B3A"/>
    <w:rPr>
      <w:rFonts w:ascii="Courier New" w:hAnsi="Courier New"/>
    </w:rPr>
  </w:style>
  <w:style w:type="paragraph" w:customStyle="1" w:styleId="NoteBullet">
    <w:name w:val="Note Bullet"/>
    <w:basedOn w:val="Note"/>
    <w:rsid w:val="00AB3B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3B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3B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3B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3B3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B3B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3B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3B3A"/>
    <w:rPr>
      <w:b/>
      <w:smallCaps/>
    </w:rPr>
  </w:style>
  <w:style w:type="paragraph" w:customStyle="1" w:styleId="TableListNumber">
    <w:name w:val="Table List Number"/>
    <w:basedOn w:val="ListNumber"/>
    <w:rsid w:val="00AB3B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3B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3B3A"/>
    <w:pPr>
      <w:numPr>
        <w:numId w:val="10"/>
      </w:numPr>
    </w:pPr>
  </w:style>
  <w:style w:type="paragraph" w:customStyle="1" w:styleId="ListAlpha2">
    <w:name w:val="List Alpha 2"/>
    <w:basedOn w:val="List2"/>
    <w:rsid w:val="00AB3B3A"/>
    <w:pPr>
      <w:numPr>
        <w:numId w:val="9"/>
      </w:numPr>
    </w:pPr>
  </w:style>
  <w:style w:type="paragraph" w:styleId="List2">
    <w:name w:val="List 2"/>
    <w:basedOn w:val="BodyText"/>
    <w:rsid w:val="00AB3B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3B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3B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3B3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B3B3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B3B3A"/>
    <w:pPr>
      <w:numPr>
        <w:numId w:val="5"/>
      </w:numPr>
    </w:pPr>
  </w:style>
  <w:style w:type="paragraph" w:styleId="ListContinue2">
    <w:name w:val="List Continue 2"/>
    <w:basedOn w:val="List2"/>
    <w:rsid w:val="00AB3B3A"/>
    <w:pPr>
      <w:ind w:firstLine="0"/>
    </w:pPr>
  </w:style>
  <w:style w:type="paragraph" w:styleId="ListContinue3">
    <w:name w:val="List Continue 3"/>
    <w:basedOn w:val="List3"/>
    <w:rsid w:val="00AB3B3A"/>
    <w:pPr>
      <w:ind w:left="1021" w:firstLine="0"/>
    </w:pPr>
  </w:style>
  <w:style w:type="paragraph" w:styleId="ListContinue4">
    <w:name w:val="List Continue 4"/>
    <w:basedOn w:val="List4"/>
    <w:rsid w:val="00AB3B3A"/>
    <w:pPr>
      <w:ind w:firstLine="0"/>
    </w:pPr>
  </w:style>
  <w:style w:type="paragraph" w:styleId="ListContinue5">
    <w:name w:val="List Continue 5"/>
    <w:basedOn w:val="List5"/>
    <w:rsid w:val="00AB3B3A"/>
    <w:pPr>
      <w:ind w:firstLine="0"/>
    </w:pPr>
  </w:style>
  <w:style w:type="paragraph" w:styleId="ListNumber3">
    <w:name w:val="List Number 3"/>
    <w:basedOn w:val="List3"/>
    <w:rsid w:val="00AB3B3A"/>
    <w:pPr>
      <w:numPr>
        <w:numId w:val="6"/>
      </w:numPr>
    </w:pPr>
  </w:style>
  <w:style w:type="paragraph" w:styleId="ListNumber4">
    <w:name w:val="List Number 4"/>
    <w:basedOn w:val="List4"/>
    <w:rsid w:val="00AB3B3A"/>
    <w:pPr>
      <w:numPr>
        <w:numId w:val="7"/>
      </w:numPr>
    </w:pPr>
  </w:style>
  <w:style w:type="paragraph" w:styleId="ListNumber5">
    <w:name w:val="List Number 5"/>
    <w:basedOn w:val="List5"/>
    <w:rsid w:val="00AB3B3A"/>
    <w:pPr>
      <w:numPr>
        <w:numId w:val="8"/>
      </w:numPr>
    </w:pPr>
  </w:style>
  <w:style w:type="paragraph" w:styleId="BlockText">
    <w:name w:val="Block Text"/>
    <w:basedOn w:val="Normal"/>
    <w:rsid w:val="00AB3B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3B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3B3A"/>
    <w:rPr>
      <w:sz w:val="16"/>
      <w:vertAlign w:val="superscript"/>
    </w:rPr>
  </w:style>
  <w:style w:type="character" w:customStyle="1" w:styleId="Symbols">
    <w:name w:val="Symbols"/>
    <w:basedOn w:val="DefaultParagraphFont"/>
    <w:rsid w:val="00AB3B3A"/>
    <w:rPr>
      <w:rFonts w:ascii="Symbol" w:hAnsi="Symbol"/>
    </w:rPr>
  </w:style>
  <w:style w:type="character" w:customStyle="1" w:styleId="MenuOptions">
    <w:name w:val="Menu Options"/>
    <w:basedOn w:val="DefaultParagraphFont"/>
    <w:rsid w:val="00AB3B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3B3A"/>
    <w:rPr>
      <w:b/>
    </w:rPr>
  </w:style>
  <w:style w:type="character" w:customStyle="1" w:styleId="Underlined">
    <w:name w:val="Underlined"/>
    <w:basedOn w:val="DefaultParagraphFont"/>
    <w:rsid w:val="00AB3B3A"/>
    <w:rPr>
      <w:u w:val="single"/>
    </w:rPr>
  </w:style>
  <w:style w:type="paragraph" w:customStyle="1" w:styleId="TableBodyTextRight">
    <w:name w:val="Table Body Text Right"/>
    <w:basedOn w:val="TableBodyText"/>
    <w:rsid w:val="00AB3B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3B3A"/>
    <w:rPr>
      <w:sz w:val="18"/>
    </w:rPr>
  </w:style>
  <w:style w:type="paragraph" w:customStyle="1" w:styleId="BodySmallRight">
    <w:name w:val="Body Small Right"/>
    <w:basedOn w:val="BodyTextRight"/>
    <w:rsid w:val="00AB3B3A"/>
    <w:rPr>
      <w:sz w:val="18"/>
      <w:szCs w:val="18"/>
    </w:rPr>
  </w:style>
  <w:style w:type="paragraph" w:customStyle="1" w:styleId="MarginEdition">
    <w:name w:val="Margin Edition"/>
    <w:basedOn w:val="MarginNote"/>
    <w:rsid w:val="00AB3B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3B3A"/>
    <w:rPr>
      <w:sz w:val="2"/>
      <w:szCs w:val="2"/>
    </w:rPr>
  </w:style>
  <w:style w:type="character" w:customStyle="1" w:styleId="Small">
    <w:name w:val="Small"/>
    <w:basedOn w:val="DefaultParagraphFont"/>
    <w:rsid w:val="00AB3B3A"/>
    <w:rPr>
      <w:sz w:val="16"/>
    </w:rPr>
  </w:style>
  <w:style w:type="paragraph" w:customStyle="1" w:styleId="WideTable">
    <w:name w:val="Wide Table"/>
    <w:basedOn w:val="Normal"/>
    <w:rsid w:val="00AB3B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3B3A"/>
  </w:style>
  <w:style w:type="paragraph" w:styleId="Quote">
    <w:name w:val="Quote"/>
    <w:basedOn w:val="Heading1"/>
    <w:link w:val="QuoteChar"/>
    <w:qFormat/>
    <w:rsid w:val="00AB3B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3B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3B3A"/>
    <w:pPr>
      <w:pageBreakBefore/>
    </w:pPr>
  </w:style>
  <w:style w:type="paragraph" w:customStyle="1" w:styleId="Border">
    <w:name w:val="Border"/>
    <w:basedOn w:val="Normal"/>
    <w:qFormat/>
    <w:rsid w:val="00AB3B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3B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3B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3B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3B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3B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3B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3B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3B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3B3A"/>
    <w:rPr>
      <w:u w:val="single"/>
    </w:rPr>
  </w:style>
  <w:style w:type="character" w:customStyle="1" w:styleId="BoldandItalics">
    <w:name w:val="Bold and Italics"/>
    <w:qFormat/>
    <w:rsid w:val="00AB3B3A"/>
    <w:rPr>
      <w:b/>
      <w:i/>
      <w:u w:val="none"/>
    </w:rPr>
  </w:style>
  <w:style w:type="paragraph" w:styleId="BalloonText">
    <w:name w:val="Balloon Text"/>
    <w:basedOn w:val="Normal"/>
    <w:link w:val="BalloonTextChar"/>
    <w:rsid w:val="00AB3B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3B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3B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3B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3B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3B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3B3A"/>
    <w:pPr>
      <w:spacing w:before="0" w:after="0"/>
    </w:pPr>
  </w:style>
  <w:style w:type="paragraph" w:customStyle="1" w:styleId="BodyTextBold">
    <w:name w:val="Body Text Bold"/>
    <w:basedOn w:val="BodyText"/>
    <w:qFormat/>
    <w:rsid w:val="00AB3B3A"/>
    <w:rPr>
      <w:b/>
    </w:rPr>
  </w:style>
  <w:style w:type="character" w:styleId="Hyperlink">
    <w:name w:val="Hyperlink"/>
    <w:basedOn w:val="DefaultParagraphFont"/>
    <w:uiPriority w:val="99"/>
    <w:unhideWhenUsed/>
    <w:rsid w:val="002207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301</Words>
  <Characters>2174</Characters>
  <Application>Microsoft Office Word</Application>
  <DocSecurity>0</DocSecurity>
  <Lines>63</Lines>
  <Paragraphs>53</Paragraphs>
  <ScaleCrop>false</ScaleCrop>
  <Company>Author-it Software Corporation Ltd.</Company>
  <LinksUpToDate>false</LinksUpToDate>
  <CharactersWithSpaces>2422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MSFID6016 Select and monitor contractors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2022-12-21T05:31:00Z</dcterms:created>
  <dcterms:modified xsi:type="dcterms:W3CDTF">2022-12-21T05:31:00Z</dcterms:modified>
</cp:coreProperties>
</file>