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D92" w:rsidP="00BE5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MSFID6015 Design for conservation and restoration projects</w:t>
      </w:r>
      <w:r>
        <w:fldChar w:fldCharType="end"/>
      </w:r>
    </w:p>
    <w:p w:rsidR="00BE5D92" w:rsidP="00BE5D92">
      <w:pPr>
        <w:pStyle w:val="Version"/>
        <w:sectPr w:rsidSect="000C2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133" w:rsidP="000C2133">
      <w:pPr>
        <w:pStyle w:val="SuperHeading"/>
      </w:pPr>
      <w:r w:rsidRPr="000C2133">
        <w:t>Assessment Requirements for MSFID6015 Design for conservation and restoration projects</w:t>
      </w:r>
    </w:p>
    <w:p w:rsidR="00000000" w:rsidRPr="000C2133" w:rsidP="000C2133">
      <w:pPr>
        <w:pStyle w:val="Heading1"/>
      </w:pPr>
      <w:bookmarkStart w:id="1" w:name="O_1014393"/>
      <w:bookmarkEnd w:id="1"/>
      <w:r w:rsidRPr="000C2133">
        <w:t>Modification History</w:t>
      </w:r>
    </w:p>
    <w:p w:rsidR="00BE5D92" w:rsidP="00BE5D92">
      <w:pPr>
        <w:pStyle w:val="BodyText"/>
      </w:pPr>
      <w:r w:rsidRPr="000C2133">
        <w:t>Release 1. Supersedes and is equivalent to MSFID6006 Design for conservation and restoration projects.</w:t>
      </w:r>
    </w:p>
    <w:p w:rsidR="00000000" w:rsidRPr="000C2133" w:rsidP="000C2133">
      <w:pPr>
        <w:pStyle w:val="Heading1"/>
      </w:pPr>
      <w:bookmarkStart w:id="2" w:name="O_1014394"/>
      <w:bookmarkEnd w:id="2"/>
      <w:r w:rsidRPr="000C2133">
        <w:t>Performance Evidence</w:t>
      </w:r>
    </w:p>
    <w:p w:rsidR="00000000" w:rsidRPr="000C2133" w:rsidP="00BE5D92">
      <w:pPr>
        <w:pStyle w:val="BodyText"/>
      </w:pPr>
      <w:r w:rsidRPr="000C2133">
        <w:t>There must be evidence the candidate has completed the tasks outlined in the elements and performance criteria of this unit, and:</w:t>
      </w:r>
    </w:p>
    <w:p w:rsidR="00BE5D92" w:rsidP="000C2133">
      <w:pPr>
        <w:pStyle w:val="ListBullet"/>
      </w:pPr>
      <w:r w:rsidRPr="000C2133">
        <w:t>developed and presented designs that meet the requirements of the brief for 3 conservation and/or restor</w:t>
      </w:r>
      <w:r w:rsidRPr="000C2133">
        <w:t>ation interiors.</w:t>
      </w:r>
    </w:p>
    <w:p w:rsidR="00BE5D92" w:rsidP="000C2133">
      <w:pPr>
        <w:pStyle w:val="ListBullet"/>
      </w:pPr>
    </w:p>
    <w:p w:rsidR="00000000" w:rsidRPr="000C2133" w:rsidP="000C2133">
      <w:pPr>
        <w:pStyle w:val="Heading1"/>
      </w:pPr>
      <w:bookmarkStart w:id="3" w:name="O_1014395"/>
      <w:bookmarkEnd w:id="3"/>
      <w:r w:rsidRPr="000C2133">
        <w:t>Knowledge Evidence</w:t>
      </w:r>
    </w:p>
    <w:p w:rsidR="00000000" w:rsidRPr="000C2133" w:rsidP="00BE5D92">
      <w:pPr>
        <w:pStyle w:val="BodyText"/>
      </w:pPr>
      <w:r w:rsidRPr="000C2133">
        <w:t>There must be evidence the candidate has knowledge of:</w:t>
      </w:r>
    </w:p>
    <w:p w:rsidR="00000000" w:rsidRPr="000C2133" w:rsidP="000C2133">
      <w:pPr>
        <w:pStyle w:val="ListBullet"/>
      </w:pPr>
      <w:r w:rsidRPr="000C2133">
        <w:t>Australian Standards and the National Construction Code (NCC)</w:t>
      </w:r>
    </w:p>
    <w:p w:rsidR="00000000" w:rsidRPr="000C2133" w:rsidP="000C2133">
      <w:pPr>
        <w:pStyle w:val="ListBullet"/>
      </w:pPr>
      <w:r w:rsidRPr="000C2133">
        <w:t>mathematical procedures for estimation and measurement</w:t>
      </w:r>
    </w:p>
    <w:p w:rsidR="00000000" w:rsidRPr="000C2133" w:rsidP="000C2133">
      <w:pPr>
        <w:pStyle w:val="ListBullet"/>
      </w:pPr>
      <w:r w:rsidRPr="000C2133">
        <w:t>type and scope of client an</w:t>
      </w:r>
      <w:r w:rsidRPr="000C2133">
        <w:t>d/or project brief that informs work in a hospitality context:</w:t>
      </w:r>
    </w:p>
    <w:p w:rsidR="00000000" w:rsidRPr="000C2133" w:rsidP="000C2133">
      <w:pPr>
        <w:pStyle w:val="ListBullet2"/>
      </w:pPr>
      <w:r w:rsidRPr="000C2133">
        <w:t>budget</w:t>
      </w:r>
    </w:p>
    <w:p w:rsidR="00000000" w:rsidRPr="000C2133" w:rsidP="000C2133">
      <w:pPr>
        <w:pStyle w:val="ListBullet2"/>
      </w:pPr>
      <w:r w:rsidRPr="000C2133">
        <w:t>client preferences</w:t>
      </w:r>
    </w:p>
    <w:p w:rsidR="00000000" w:rsidRPr="000C2133" w:rsidP="000C2133">
      <w:pPr>
        <w:pStyle w:val="ListBullet2"/>
      </w:pPr>
      <w:r w:rsidRPr="000C2133">
        <w:t>aesthetic and functional requirements</w:t>
      </w:r>
    </w:p>
    <w:p w:rsidR="00000000" w:rsidRPr="000C2133" w:rsidP="000C2133">
      <w:pPr>
        <w:pStyle w:val="ListBullet2"/>
      </w:pPr>
      <w:r w:rsidRPr="000C2133">
        <w:t xml:space="preserve">site characteristics </w:t>
      </w:r>
    </w:p>
    <w:p w:rsidR="00000000" w:rsidRPr="000C2133" w:rsidP="000C2133">
      <w:pPr>
        <w:pStyle w:val="ListBullet2"/>
      </w:pPr>
      <w:r w:rsidRPr="000C2133">
        <w:t xml:space="preserve">timeline </w:t>
      </w:r>
    </w:p>
    <w:p w:rsidR="00000000" w:rsidRPr="000C2133" w:rsidP="000C2133">
      <w:pPr>
        <w:pStyle w:val="ListBullet"/>
      </w:pPr>
      <w:r w:rsidRPr="000C2133">
        <w:t>how different aspects of space impact on potential solutions, including:</w:t>
      </w:r>
    </w:p>
    <w:p w:rsidR="00000000" w:rsidRPr="000C2133" w:rsidP="000C2133">
      <w:pPr>
        <w:pStyle w:val="ListBullet2"/>
      </w:pPr>
      <w:r w:rsidRPr="000C2133">
        <w:t>colour</w:t>
      </w:r>
    </w:p>
    <w:p w:rsidR="00000000" w:rsidRPr="000C2133" w:rsidP="000C2133">
      <w:pPr>
        <w:pStyle w:val="ListBullet2"/>
      </w:pPr>
      <w:r w:rsidRPr="000C2133">
        <w:t>size</w:t>
      </w:r>
    </w:p>
    <w:p w:rsidR="00000000" w:rsidRPr="000C2133" w:rsidP="000C2133">
      <w:pPr>
        <w:pStyle w:val="ListBullet2"/>
      </w:pPr>
      <w:r w:rsidRPr="000C2133">
        <w:t>shape</w:t>
      </w:r>
    </w:p>
    <w:p w:rsidR="00000000" w:rsidRPr="000C2133" w:rsidP="000C2133">
      <w:pPr>
        <w:pStyle w:val="ListBullet2"/>
      </w:pPr>
      <w:r w:rsidRPr="000C2133">
        <w:t>level of light</w:t>
      </w:r>
    </w:p>
    <w:p w:rsidR="00000000" w:rsidRPr="000C2133" w:rsidP="000C2133">
      <w:pPr>
        <w:pStyle w:val="ListBullet2"/>
      </w:pPr>
      <w:r w:rsidRPr="000C2133">
        <w:t>structural features</w:t>
      </w:r>
    </w:p>
    <w:p w:rsidR="00000000" w:rsidRPr="000C2133" w:rsidP="000C2133">
      <w:pPr>
        <w:pStyle w:val="ListBullet"/>
      </w:pPr>
      <w:r w:rsidRPr="000C2133">
        <w:t xml:space="preserve">types and features of resources that support the provision of design advice, and how they are used, including: </w:t>
      </w:r>
    </w:p>
    <w:p w:rsidR="00000000" w:rsidRPr="000C2133" w:rsidP="000C2133">
      <w:pPr>
        <w:pStyle w:val="ListBullet2"/>
      </w:pPr>
      <w:r w:rsidRPr="000C2133">
        <w:t>research tools</w:t>
      </w:r>
    </w:p>
    <w:p w:rsidR="00000000" w:rsidRPr="000C2133" w:rsidP="000C2133">
      <w:pPr>
        <w:pStyle w:val="ListBullet2"/>
      </w:pPr>
      <w:r w:rsidRPr="000C2133">
        <w:t>product tools</w:t>
      </w:r>
    </w:p>
    <w:p w:rsidR="00000000" w:rsidRPr="000C2133" w:rsidP="000C2133">
      <w:pPr>
        <w:pStyle w:val="ListBullet2"/>
      </w:pPr>
      <w:r w:rsidRPr="000C2133">
        <w:t>communication tools</w:t>
      </w:r>
    </w:p>
    <w:p w:rsidR="00000000" w:rsidRPr="000C2133" w:rsidP="000C2133">
      <w:pPr>
        <w:pStyle w:val="ListBullet"/>
      </w:pPr>
      <w:r w:rsidRPr="000C2133">
        <w:t>elements and principles of design, their interrelationshi</w:t>
      </w:r>
      <w:r w:rsidRPr="000C2133">
        <w:t>ps, and how they are used in interior design</w:t>
      </w:r>
    </w:p>
    <w:p w:rsidR="00000000" w:rsidRPr="000C2133" w:rsidP="000C2133">
      <w:pPr>
        <w:pStyle w:val="ListBullet"/>
      </w:pPr>
      <w:r w:rsidRPr="000C2133">
        <w:t>ergonomics, anthropometrics, proxemics and aesthetic values</w:t>
      </w:r>
    </w:p>
    <w:p w:rsidR="00000000" w:rsidRPr="000C2133" w:rsidP="000C2133">
      <w:pPr>
        <w:pStyle w:val="ListBullet"/>
      </w:pPr>
      <w:r w:rsidRPr="000C2133">
        <w:t xml:space="preserve">design process, key stages and associated planning techniques </w:t>
      </w:r>
    </w:p>
    <w:p w:rsidR="00000000" w:rsidRPr="000C2133" w:rsidP="000C2133">
      <w:pPr>
        <w:pStyle w:val="ListBullet"/>
      </w:pPr>
      <w:r w:rsidRPr="000C2133">
        <w:t>types of information that may inform the design process:</w:t>
      </w:r>
    </w:p>
    <w:p w:rsidR="00000000" w:rsidRPr="000C2133" w:rsidP="000C2133">
      <w:pPr>
        <w:pStyle w:val="ListBullet2"/>
      </w:pPr>
      <w:r w:rsidRPr="000C2133">
        <w:t>commercial</w:t>
      </w:r>
    </w:p>
    <w:p w:rsidR="00000000" w:rsidRPr="000C2133" w:rsidP="000C2133">
      <w:pPr>
        <w:pStyle w:val="ListBullet2"/>
      </w:pPr>
      <w:r w:rsidRPr="000C2133">
        <w:t>cultural</w:t>
      </w:r>
    </w:p>
    <w:p w:rsidR="00000000" w:rsidRPr="000C2133" w:rsidP="000C2133">
      <w:pPr>
        <w:pStyle w:val="ListBullet2"/>
      </w:pPr>
      <w:r w:rsidRPr="000C2133">
        <w:t>environmental</w:t>
      </w:r>
    </w:p>
    <w:p w:rsidR="00000000" w:rsidRPr="000C2133" w:rsidP="000C2133">
      <w:pPr>
        <w:pStyle w:val="ListBullet2"/>
      </w:pPr>
      <w:r w:rsidRPr="000C2133">
        <w:t>historical</w:t>
      </w:r>
    </w:p>
    <w:p w:rsidR="00000000" w:rsidRPr="000C2133" w:rsidP="000C2133">
      <w:pPr>
        <w:pStyle w:val="ListBullet2"/>
      </w:pPr>
      <w:r w:rsidRPr="000C2133">
        <w:t>political</w:t>
      </w:r>
    </w:p>
    <w:p w:rsidR="00000000" w:rsidRPr="000C2133" w:rsidP="000C2133">
      <w:pPr>
        <w:pStyle w:val="ListBullet2"/>
      </w:pPr>
      <w:r w:rsidRPr="000C2133">
        <w:t>technological</w:t>
      </w:r>
    </w:p>
    <w:p w:rsidR="00000000" w:rsidRPr="000C2133" w:rsidP="000C2133">
      <w:pPr>
        <w:pStyle w:val="ListBullet"/>
      </w:pPr>
      <w:r w:rsidRPr="000C2133">
        <w:t>types of creative methodologies used in the design process</w:t>
      </w:r>
    </w:p>
    <w:p w:rsidR="00000000" w:rsidRPr="000C2133" w:rsidP="000C2133">
      <w:pPr>
        <w:pStyle w:val="ListBullet"/>
      </w:pPr>
      <w:r w:rsidRPr="000C2133">
        <w:t xml:space="preserve">types and features of drawings and other visual presentation techniques used to present design solutions </w:t>
      </w:r>
    </w:p>
    <w:p w:rsidR="00000000" w:rsidRPr="000C2133" w:rsidP="000C2133">
      <w:pPr>
        <w:pStyle w:val="ListBullet"/>
      </w:pPr>
      <w:r w:rsidRPr="000C2133">
        <w:t>digital and non-digital sketching and dra</w:t>
      </w:r>
      <w:r w:rsidRPr="000C2133">
        <w:t xml:space="preserve">wing techniques to architectural drawing standards </w:t>
      </w:r>
    </w:p>
    <w:p w:rsidR="00000000" w:rsidRPr="000C2133" w:rsidP="000C2133">
      <w:pPr>
        <w:pStyle w:val="ListBullet"/>
      </w:pPr>
      <w:r w:rsidRPr="000C2133">
        <w:t>regulations, conditions and variables relating to the specific conservation / restoration context:</w:t>
      </w:r>
    </w:p>
    <w:p w:rsidR="00000000" w:rsidRPr="000C2133" w:rsidP="000C2133">
      <w:pPr>
        <w:pStyle w:val="ListBullet"/>
      </w:pPr>
      <w:r w:rsidRPr="000C2133">
        <w:t>issues that typically impact decoration solutions for restoration projects, and how these can be addresse</w:t>
      </w:r>
      <w:r w:rsidRPr="000C2133">
        <w:t>d, including:</w:t>
      </w:r>
    </w:p>
    <w:p w:rsidR="00000000" w:rsidRPr="000C2133" w:rsidP="000C2133">
      <w:pPr>
        <w:pStyle w:val="ListBullet2"/>
      </w:pPr>
      <w:r w:rsidRPr="000C2133">
        <w:t>building condition</w:t>
      </w:r>
    </w:p>
    <w:p w:rsidR="00000000" w:rsidRPr="000C2133" w:rsidP="000C2133">
      <w:pPr>
        <w:pStyle w:val="ListBullet2"/>
      </w:pPr>
      <w:r w:rsidRPr="000C2133">
        <w:t xml:space="preserve">compatibility and matching of new and old materials </w:t>
      </w:r>
    </w:p>
    <w:p w:rsidR="00000000" w:rsidRPr="000C2133" w:rsidP="000C2133">
      <w:pPr>
        <w:pStyle w:val="ListBullet2"/>
      </w:pPr>
      <w:r w:rsidRPr="000C2133">
        <w:t>frameworks that control activity in the building:</w:t>
      </w:r>
    </w:p>
    <w:p w:rsidR="00000000" w:rsidRPr="000C2133" w:rsidP="000C2133">
      <w:pPr>
        <w:pStyle w:val="ListBullet3"/>
      </w:pPr>
      <w:r w:rsidRPr="000C2133">
        <w:t>building standards</w:t>
      </w:r>
    </w:p>
    <w:p w:rsidR="00000000" w:rsidRPr="000C2133" w:rsidP="000C2133">
      <w:pPr>
        <w:pStyle w:val="ListBullet3"/>
      </w:pPr>
      <w:r w:rsidRPr="000C2133">
        <w:t>decision-making processes</w:t>
      </w:r>
    </w:p>
    <w:p w:rsidR="00000000" w:rsidRPr="000C2133" w:rsidP="000C2133">
      <w:pPr>
        <w:pStyle w:val="ListBullet3"/>
      </w:pPr>
      <w:r w:rsidRPr="000C2133">
        <w:t>conservation orders and conditions</w:t>
      </w:r>
    </w:p>
    <w:p w:rsidR="00000000" w:rsidRPr="000C2133" w:rsidP="000C2133">
      <w:pPr>
        <w:pStyle w:val="ListBullet3"/>
      </w:pPr>
      <w:r w:rsidRPr="000C2133">
        <w:t>safety standards</w:t>
      </w:r>
    </w:p>
    <w:p w:rsidR="00000000" w:rsidRPr="000C2133" w:rsidP="000C2133">
      <w:pPr>
        <w:pStyle w:val="ListBullet3"/>
      </w:pPr>
      <w:r w:rsidRPr="000C2133">
        <w:t xml:space="preserve">occupancy and use guidelines </w:t>
      </w:r>
    </w:p>
    <w:p w:rsidR="00000000" w:rsidRPr="000C2133" w:rsidP="000C2133">
      <w:pPr>
        <w:pStyle w:val="ListBullet3"/>
      </w:pPr>
      <w:r w:rsidRPr="000C2133">
        <w:t>services availability</w:t>
      </w:r>
    </w:p>
    <w:p w:rsidR="00000000" w:rsidRPr="000C2133" w:rsidP="000C2133">
      <w:pPr>
        <w:pStyle w:val="ListBullet2"/>
      </w:pPr>
      <w:r w:rsidRPr="000C2133">
        <w:t>protection and conservation of features.</w:t>
      </w:r>
    </w:p>
    <w:p w:rsidR="00000000" w:rsidRPr="000C2133" w:rsidP="000C2133">
      <w:pPr>
        <w:pStyle w:val="AllowPageBreak"/>
      </w:pPr>
    </w:p>
    <w:p w:rsidR="00000000" w:rsidRPr="000C2133" w:rsidP="000C2133">
      <w:pPr>
        <w:pStyle w:val="Heading1"/>
      </w:pPr>
      <w:bookmarkStart w:id="4" w:name="O_1014396"/>
      <w:bookmarkEnd w:id="4"/>
      <w:r w:rsidRPr="000C2133">
        <w:t>Assessment Conditions</w:t>
      </w:r>
    </w:p>
    <w:p w:rsidR="00000000" w:rsidRPr="000C2133" w:rsidP="00BE5D92">
      <w:pPr>
        <w:pStyle w:val="BodyText"/>
      </w:pPr>
      <w:r w:rsidRPr="000C2133">
        <w:t xml:space="preserve">Skills must have been demonstrated in the workplace or in a simulated environment that reflects workplace conditions and </w:t>
      </w:r>
      <w:r w:rsidRPr="000C2133">
        <w:t xml:space="preserve">contingencies. The following conditions must be met for this unit: </w:t>
      </w:r>
    </w:p>
    <w:p w:rsidR="00000000" w:rsidRPr="000C2133" w:rsidP="000C2133">
      <w:pPr>
        <w:pStyle w:val="ListBullet"/>
      </w:pPr>
      <w:r w:rsidRPr="000C2133">
        <w:t xml:space="preserve">use of suitable facilities, equipment and resources, including: </w:t>
      </w:r>
    </w:p>
    <w:p w:rsidR="00000000" w:rsidRPr="000C2133" w:rsidP="000C2133">
      <w:pPr>
        <w:pStyle w:val="ListBullet2"/>
      </w:pPr>
      <w:r w:rsidRPr="000C2133">
        <w:t>design briefs</w:t>
      </w:r>
    </w:p>
    <w:p w:rsidR="00000000" w:rsidRPr="000C2133" w:rsidP="000C2133">
      <w:pPr>
        <w:pStyle w:val="ListBullet2"/>
      </w:pPr>
      <w:r w:rsidRPr="000C2133">
        <w:t>conservation and/or restoration environments for design</w:t>
      </w:r>
    </w:p>
    <w:p w:rsidR="00000000" w:rsidRPr="000C2133" w:rsidP="000C2133">
      <w:pPr>
        <w:pStyle w:val="ListBullet2"/>
      </w:pPr>
      <w:r w:rsidRPr="000C2133">
        <w:t>measuring equipment</w:t>
      </w:r>
    </w:p>
    <w:p w:rsidR="00000000" w:rsidRPr="000C2133" w:rsidP="000C2133">
      <w:pPr>
        <w:pStyle w:val="ListBullet2"/>
      </w:pPr>
      <w:r w:rsidRPr="000C2133">
        <w:t>information technology for research and design presentation.</w:t>
      </w:r>
    </w:p>
    <w:p w:rsidR="00BE5D92" w:rsidP="00BE5D92">
      <w:pPr>
        <w:pStyle w:val="BodyText"/>
      </w:pPr>
      <w:r w:rsidRPr="000C2133">
        <w:t>Assessors must satisfy the NVR/AQTF mandatory competency requirements for assessors.</w:t>
      </w:r>
    </w:p>
    <w:p w:rsidR="00000000" w:rsidRPr="000C2133" w:rsidP="000C2133">
      <w:pPr>
        <w:pStyle w:val="Heading1"/>
      </w:pPr>
      <w:bookmarkStart w:id="5" w:name="O_1014399"/>
      <w:bookmarkEnd w:id="5"/>
      <w:r w:rsidRPr="000C2133">
        <w:t>Links</w:t>
      </w:r>
    </w:p>
    <w:p w:rsidR="00000000" w:rsidRPr="000C2133" w:rsidP="00BE5D92">
      <w:pPr>
        <w:pStyle w:val="BodyText"/>
      </w:pPr>
      <w:r w:rsidRPr="000C2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33E3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C2133" w:rsidP="000C2133"/>
    <w:sectPr w:rsidSect="000C2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33" w:rsidRPr="00BE5D92" w:rsidP="00BE5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92" w:rsidP="000C2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D92" w:rsidP="000C2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5D92" w:rsidP="000C2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133" w:rsidRPr="00BE5D92" w:rsidP="00BE5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92" w:rsidRPr="002D2AF8" w:rsidP="000C2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MSFID6015 Design for conservation and restoration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E5D92" w:rsidP="000C2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CEF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D24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067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133"/>
  </w:style>
  <w:style w:type="character" w:customStyle="1" w:styleId="Heading1Char">
    <w:name w:val="Heading 1 Char"/>
    <w:basedOn w:val="DefaultParagraphFont"/>
    <w:link w:val="Heading1"/>
    <w:rsid w:val="000C2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13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21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2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21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2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2133"/>
    <w:rPr>
      <w:b/>
      <w:spacing w:val="0"/>
    </w:rPr>
  </w:style>
  <w:style w:type="paragraph" w:customStyle="1" w:styleId="SuperTitle">
    <w:name w:val="SuperTitle"/>
    <w:basedOn w:val="Title"/>
    <w:rsid w:val="000C2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133"/>
    <w:rPr>
      <w:i/>
    </w:rPr>
  </w:style>
  <w:style w:type="paragraph" w:styleId="Caption">
    <w:name w:val="caption"/>
    <w:basedOn w:val="BodyText"/>
    <w:next w:val="Normal"/>
    <w:qFormat/>
    <w:rsid w:val="000C2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133"/>
  </w:style>
  <w:style w:type="paragraph" w:styleId="TableofFigures">
    <w:name w:val="table of figures"/>
    <w:basedOn w:val="Normal"/>
    <w:next w:val="Normal"/>
    <w:semiHidden/>
    <w:rsid w:val="000C2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1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2133"/>
    <w:rPr>
      <w:rFonts w:ascii="Wingdings" w:hAnsi="Wingdings"/>
    </w:rPr>
  </w:style>
  <w:style w:type="paragraph" w:customStyle="1" w:styleId="TableHeading">
    <w:name w:val="Table Heading"/>
    <w:basedOn w:val="HeadingBase"/>
    <w:rsid w:val="000C2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133"/>
    <w:rPr>
      <w:color w:val="0033CC"/>
      <w:u w:val="none"/>
    </w:rPr>
  </w:style>
  <w:style w:type="paragraph" w:customStyle="1" w:styleId="BodyTextRight">
    <w:name w:val="Body Text Right"/>
    <w:basedOn w:val="BodyText"/>
    <w:rsid w:val="000C2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1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133"/>
    <w:rPr>
      <w:sz w:val="32"/>
    </w:rPr>
  </w:style>
  <w:style w:type="paragraph" w:customStyle="1" w:styleId="HeadingProcedure">
    <w:name w:val="Heading Procedure"/>
    <w:basedOn w:val="HeadingBase"/>
    <w:next w:val="Normal"/>
    <w:rsid w:val="000C2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133"/>
    <w:pPr>
      <w:spacing w:before="60" w:after="60"/>
    </w:pPr>
  </w:style>
  <w:style w:type="paragraph" w:styleId="ListContinue">
    <w:name w:val="List Continue"/>
    <w:basedOn w:val="List"/>
    <w:rsid w:val="000C2133"/>
    <w:pPr>
      <w:ind w:firstLine="0"/>
    </w:pPr>
  </w:style>
  <w:style w:type="paragraph" w:customStyle="1" w:styleId="ListNote">
    <w:name w:val="List Note"/>
    <w:basedOn w:val="List"/>
    <w:rsid w:val="000C2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133"/>
    <w:rPr>
      <w:rFonts w:ascii="Courier New" w:hAnsi="Courier New"/>
    </w:rPr>
  </w:style>
  <w:style w:type="paragraph" w:customStyle="1" w:styleId="NoteBullet">
    <w:name w:val="Note Bullet"/>
    <w:basedOn w:val="Note"/>
    <w:rsid w:val="000C2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1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2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133"/>
    <w:rPr>
      <w:b/>
      <w:smallCaps/>
    </w:rPr>
  </w:style>
  <w:style w:type="paragraph" w:customStyle="1" w:styleId="TableListNumber">
    <w:name w:val="Table List Number"/>
    <w:basedOn w:val="ListNumber"/>
    <w:rsid w:val="000C2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133"/>
    <w:pPr>
      <w:numPr>
        <w:numId w:val="10"/>
      </w:numPr>
    </w:pPr>
  </w:style>
  <w:style w:type="paragraph" w:customStyle="1" w:styleId="ListAlpha2">
    <w:name w:val="List Alpha 2"/>
    <w:basedOn w:val="List2"/>
    <w:rsid w:val="000C2133"/>
    <w:pPr>
      <w:numPr>
        <w:numId w:val="9"/>
      </w:numPr>
    </w:pPr>
  </w:style>
  <w:style w:type="paragraph" w:styleId="List2">
    <w:name w:val="List 2"/>
    <w:basedOn w:val="BodyText"/>
    <w:rsid w:val="000C2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1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21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2133"/>
    <w:pPr>
      <w:numPr>
        <w:numId w:val="5"/>
      </w:numPr>
    </w:pPr>
  </w:style>
  <w:style w:type="paragraph" w:styleId="ListContinue2">
    <w:name w:val="List Continue 2"/>
    <w:basedOn w:val="List2"/>
    <w:rsid w:val="000C2133"/>
    <w:pPr>
      <w:ind w:firstLine="0"/>
    </w:pPr>
  </w:style>
  <w:style w:type="paragraph" w:styleId="ListContinue3">
    <w:name w:val="List Continue 3"/>
    <w:basedOn w:val="List3"/>
    <w:rsid w:val="000C2133"/>
    <w:pPr>
      <w:ind w:left="1021" w:firstLine="0"/>
    </w:pPr>
  </w:style>
  <w:style w:type="paragraph" w:styleId="ListContinue4">
    <w:name w:val="List Continue 4"/>
    <w:basedOn w:val="List4"/>
    <w:rsid w:val="000C2133"/>
    <w:pPr>
      <w:ind w:firstLine="0"/>
    </w:pPr>
  </w:style>
  <w:style w:type="paragraph" w:styleId="ListContinue5">
    <w:name w:val="List Continue 5"/>
    <w:basedOn w:val="List5"/>
    <w:rsid w:val="000C2133"/>
    <w:pPr>
      <w:ind w:firstLine="0"/>
    </w:pPr>
  </w:style>
  <w:style w:type="paragraph" w:styleId="ListNumber3">
    <w:name w:val="List Number 3"/>
    <w:basedOn w:val="List3"/>
    <w:rsid w:val="000C2133"/>
    <w:pPr>
      <w:numPr>
        <w:numId w:val="6"/>
      </w:numPr>
    </w:pPr>
  </w:style>
  <w:style w:type="paragraph" w:styleId="ListNumber4">
    <w:name w:val="List Number 4"/>
    <w:basedOn w:val="List4"/>
    <w:rsid w:val="000C2133"/>
    <w:pPr>
      <w:numPr>
        <w:numId w:val="7"/>
      </w:numPr>
    </w:pPr>
  </w:style>
  <w:style w:type="paragraph" w:styleId="ListNumber5">
    <w:name w:val="List Number 5"/>
    <w:basedOn w:val="List5"/>
    <w:rsid w:val="000C2133"/>
    <w:pPr>
      <w:numPr>
        <w:numId w:val="8"/>
      </w:numPr>
    </w:pPr>
  </w:style>
  <w:style w:type="paragraph" w:styleId="BlockText">
    <w:name w:val="Block Text"/>
    <w:basedOn w:val="Normal"/>
    <w:rsid w:val="000C2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133"/>
    <w:rPr>
      <w:sz w:val="16"/>
      <w:vertAlign w:val="superscript"/>
    </w:rPr>
  </w:style>
  <w:style w:type="character" w:customStyle="1" w:styleId="Symbols">
    <w:name w:val="Symbols"/>
    <w:basedOn w:val="DefaultParagraphFont"/>
    <w:rsid w:val="000C2133"/>
    <w:rPr>
      <w:rFonts w:ascii="Symbol" w:hAnsi="Symbol"/>
    </w:rPr>
  </w:style>
  <w:style w:type="character" w:customStyle="1" w:styleId="MenuOptions">
    <w:name w:val="Menu Options"/>
    <w:basedOn w:val="DefaultParagraphFont"/>
    <w:rsid w:val="000C2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133"/>
    <w:rPr>
      <w:b/>
    </w:rPr>
  </w:style>
  <w:style w:type="character" w:customStyle="1" w:styleId="Underlined">
    <w:name w:val="Underlined"/>
    <w:basedOn w:val="DefaultParagraphFont"/>
    <w:rsid w:val="000C2133"/>
    <w:rPr>
      <w:u w:val="single"/>
    </w:rPr>
  </w:style>
  <w:style w:type="paragraph" w:customStyle="1" w:styleId="TableBodyTextRight">
    <w:name w:val="Table Body Text Right"/>
    <w:basedOn w:val="TableBodyText"/>
    <w:rsid w:val="000C2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133"/>
    <w:rPr>
      <w:sz w:val="18"/>
    </w:rPr>
  </w:style>
  <w:style w:type="paragraph" w:customStyle="1" w:styleId="BodySmallRight">
    <w:name w:val="Body Small Right"/>
    <w:basedOn w:val="BodyTextRight"/>
    <w:rsid w:val="000C2133"/>
    <w:rPr>
      <w:sz w:val="18"/>
      <w:szCs w:val="18"/>
    </w:rPr>
  </w:style>
  <w:style w:type="paragraph" w:customStyle="1" w:styleId="MarginEdition">
    <w:name w:val="Margin Edition"/>
    <w:basedOn w:val="MarginNote"/>
    <w:rsid w:val="000C2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133"/>
    <w:rPr>
      <w:sz w:val="2"/>
      <w:szCs w:val="2"/>
    </w:rPr>
  </w:style>
  <w:style w:type="character" w:customStyle="1" w:styleId="Small">
    <w:name w:val="Small"/>
    <w:basedOn w:val="DefaultParagraphFont"/>
    <w:rsid w:val="000C2133"/>
    <w:rPr>
      <w:sz w:val="16"/>
    </w:rPr>
  </w:style>
  <w:style w:type="paragraph" w:customStyle="1" w:styleId="WideTable">
    <w:name w:val="Wide Table"/>
    <w:basedOn w:val="Normal"/>
    <w:rsid w:val="000C2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133"/>
  </w:style>
  <w:style w:type="paragraph" w:styleId="Quote">
    <w:name w:val="Quote"/>
    <w:basedOn w:val="Heading1"/>
    <w:link w:val="QuoteChar"/>
    <w:qFormat/>
    <w:rsid w:val="000C2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133"/>
    <w:pPr>
      <w:pageBreakBefore/>
    </w:pPr>
  </w:style>
  <w:style w:type="paragraph" w:customStyle="1" w:styleId="Border">
    <w:name w:val="Border"/>
    <w:basedOn w:val="Normal"/>
    <w:qFormat/>
    <w:rsid w:val="000C2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133"/>
    <w:rPr>
      <w:u w:val="single"/>
    </w:rPr>
  </w:style>
  <w:style w:type="character" w:customStyle="1" w:styleId="BoldandItalics">
    <w:name w:val="Bold and Italics"/>
    <w:qFormat/>
    <w:rsid w:val="000C2133"/>
    <w:rPr>
      <w:b/>
      <w:i/>
      <w:u w:val="none"/>
    </w:rPr>
  </w:style>
  <w:style w:type="paragraph" w:styleId="BalloonText">
    <w:name w:val="Balloon Text"/>
    <w:basedOn w:val="Normal"/>
    <w:link w:val="BalloonTextChar"/>
    <w:rsid w:val="000C2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133"/>
    <w:pPr>
      <w:spacing w:before="0" w:after="0"/>
    </w:pPr>
  </w:style>
  <w:style w:type="paragraph" w:customStyle="1" w:styleId="BodyTextBold">
    <w:name w:val="Body Text Bold"/>
    <w:basedOn w:val="BodyText"/>
    <w:qFormat/>
    <w:rsid w:val="000C2133"/>
    <w:rPr>
      <w:b/>
    </w:rPr>
  </w:style>
  <w:style w:type="character" w:styleId="Hyperlink">
    <w:name w:val="Hyperlink"/>
    <w:basedOn w:val="DefaultParagraphFont"/>
    <w:uiPriority w:val="99"/>
    <w:unhideWhenUsed/>
    <w:rsid w:val="00BE5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2813</Characters>
  <Application>Microsoft Office Word</Application>
  <DocSecurity>0</DocSecurity>
  <Lines>87</Lines>
  <Paragraphs>74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MSFID6015 Design for conservation and restoration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