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3AB" w:rsidP="00882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MSFID6010 Design commercial interior lighting</w:t>
      </w:r>
      <w:r>
        <w:fldChar w:fldCharType="end"/>
      </w:r>
    </w:p>
    <w:p w:rsidR="008823AB" w:rsidP="008823AB">
      <w:pPr>
        <w:pStyle w:val="Version"/>
        <w:sectPr w:rsidSect="00B02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127" w:rsidP="00B02127">
      <w:pPr>
        <w:pStyle w:val="SuperHeading"/>
      </w:pPr>
      <w:r w:rsidRPr="00B02127">
        <w:t>Assessment Requirements for MSFID6010 Design commercial interior lighting</w:t>
      </w:r>
    </w:p>
    <w:p w:rsidR="00000000" w:rsidRPr="00B02127" w:rsidP="00B02127">
      <w:pPr>
        <w:pStyle w:val="Heading1"/>
      </w:pPr>
      <w:bookmarkStart w:id="1" w:name="O_1013322"/>
      <w:bookmarkEnd w:id="1"/>
      <w:r w:rsidRPr="00B02127">
        <w:t>Modification History</w:t>
      </w:r>
    </w:p>
    <w:p w:rsidR="008823AB" w:rsidP="008823AB">
      <w:pPr>
        <w:pStyle w:val="BodyText"/>
      </w:pPr>
      <w:r w:rsidRPr="00B02127">
        <w:t xml:space="preserve">Release 1. Supersedes and is not equivalent to MSFID5006 Design interior lighting. </w:t>
      </w:r>
    </w:p>
    <w:p w:rsidR="00000000" w:rsidRPr="00B02127" w:rsidP="00B02127">
      <w:pPr>
        <w:pStyle w:val="Heading1"/>
      </w:pPr>
      <w:bookmarkStart w:id="2" w:name="O_1013323"/>
      <w:bookmarkEnd w:id="2"/>
      <w:r w:rsidRPr="00B02127">
        <w:t>Performance Evidence</w:t>
      </w:r>
    </w:p>
    <w:p w:rsidR="00000000" w:rsidRPr="00B02127" w:rsidP="008823AB">
      <w:pPr>
        <w:pStyle w:val="BodyText"/>
      </w:pPr>
      <w:r w:rsidRPr="00B02127">
        <w:t>There must be evidence the candidate has completed the tasks outlined in the elements and:</w:t>
      </w:r>
    </w:p>
    <w:p w:rsidR="00000000" w:rsidRPr="00B02127" w:rsidP="00B02127">
      <w:pPr>
        <w:pStyle w:val="ListBullet"/>
      </w:pPr>
      <w:r w:rsidRPr="00B02127">
        <w:t>designed and documented lighting solutions with 3D visualisations for 3 different commercial spaces:</w:t>
      </w:r>
    </w:p>
    <w:p w:rsidR="00000000" w:rsidRPr="00B02127" w:rsidP="00B02127">
      <w:pPr>
        <w:pStyle w:val="ListBullet2"/>
      </w:pPr>
      <w:r w:rsidRPr="00B02127">
        <w:t>each space must be different in terms of activities, tasks and</w:t>
      </w:r>
      <w:r w:rsidRPr="00B02127">
        <w:t xml:space="preserve"> processes undertaken in the space</w:t>
      </w:r>
    </w:p>
    <w:p w:rsidR="00000000" w:rsidRPr="00B02127" w:rsidP="00B02127">
      <w:pPr>
        <w:pStyle w:val="ListBullet2"/>
      </w:pPr>
      <w:r w:rsidRPr="00B02127">
        <w:t>1 must be an existing space requiring a new lighting design</w:t>
      </w:r>
    </w:p>
    <w:p w:rsidR="008823AB" w:rsidP="00B02127">
      <w:pPr>
        <w:pStyle w:val="ListBullet2"/>
      </w:pPr>
      <w:r w:rsidRPr="00B02127">
        <w:t>1 must be a potential space, yet to be constructed.</w:t>
      </w:r>
    </w:p>
    <w:p w:rsidR="008823AB" w:rsidP="00B02127">
      <w:pPr>
        <w:pStyle w:val="ListBullet2"/>
      </w:pPr>
    </w:p>
    <w:p w:rsidR="00000000" w:rsidRPr="00B02127" w:rsidP="00B02127">
      <w:pPr>
        <w:pStyle w:val="Heading1"/>
      </w:pPr>
      <w:bookmarkStart w:id="3" w:name="O_1013324"/>
      <w:bookmarkEnd w:id="3"/>
      <w:r w:rsidRPr="00B02127">
        <w:t>Knowledge Evidence</w:t>
      </w:r>
    </w:p>
    <w:p w:rsidR="00000000" w:rsidRPr="00B02127" w:rsidP="008823AB">
      <w:pPr>
        <w:pStyle w:val="BodyText"/>
      </w:pPr>
      <w:r w:rsidRPr="00B02127">
        <w:t>There must be evidence the candidate has knowledge of:</w:t>
      </w:r>
    </w:p>
    <w:p w:rsidR="00000000" w:rsidRPr="00B02127" w:rsidP="00B02127">
      <w:pPr>
        <w:pStyle w:val="ListBullet"/>
      </w:pPr>
      <w:r w:rsidRPr="00B02127">
        <w:t>type and scope of client and/or project brief information needed to inform research and recommendation:</w:t>
      </w:r>
    </w:p>
    <w:p w:rsidR="00000000" w:rsidRPr="00B02127" w:rsidP="00B02127">
      <w:pPr>
        <w:pStyle w:val="ListBullet2"/>
      </w:pPr>
      <w:r w:rsidRPr="00B02127">
        <w:t>budget</w:t>
      </w:r>
    </w:p>
    <w:p w:rsidR="00000000" w:rsidRPr="00B02127" w:rsidP="00B02127">
      <w:pPr>
        <w:pStyle w:val="ListBullet2"/>
      </w:pPr>
      <w:r w:rsidRPr="00B02127">
        <w:t>client preferences</w:t>
      </w:r>
    </w:p>
    <w:p w:rsidR="00000000" w:rsidRPr="00B02127" w:rsidP="00B02127">
      <w:pPr>
        <w:pStyle w:val="ListBullet2"/>
      </w:pPr>
      <w:r w:rsidRPr="00B02127">
        <w:t>aesthetic and functional requirements</w:t>
      </w:r>
    </w:p>
    <w:p w:rsidR="00000000" w:rsidRPr="00B02127" w:rsidP="00B02127">
      <w:pPr>
        <w:pStyle w:val="ListBullet2"/>
      </w:pPr>
      <w:r w:rsidRPr="00B02127">
        <w:t>site characteristics – size, shape, services, structural considerations</w:t>
      </w:r>
    </w:p>
    <w:p w:rsidR="00000000" w:rsidRPr="00B02127" w:rsidP="00B02127">
      <w:pPr>
        <w:pStyle w:val="ListBullet2"/>
      </w:pPr>
      <w:r w:rsidRPr="00B02127">
        <w:t xml:space="preserve">timeline </w:t>
      </w:r>
    </w:p>
    <w:p w:rsidR="00000000" w:rsidRPr="00B02127" w:rsidP="00B02127">
      <w:pPr>
        <w:pStyle w:val="ListBullet"/>
      </w:pPr>
      <w:r w:rsidRPr="00B02127">
        <w:t>type</w:t>
      </w:r>
      <w:r w:rsidRPr="00B02127">
        <w:t xml:space="preserve">s and features of resources that support the provision of design advice, and how they are used, including: </w:t>
      </w:r>
    </w:p>
    <w:p w:rsidR="00000000" w:rsidRPr="00B02127" w:rsidP="00B02127">
      <w:pPr>
        <w:pStyle w:val="ListBullet2"/>
      </w:pPr>
      <w:r w:rsidRPr="00B02127">
        <w:t xml:space="preserve">research tools and techniques </w:t>
      </w:r>
    </w:p>
    <w:p w:rsidR="00000000" w:rsidRPr="00B02127" w:rsidP="00B02127">
      <w:pPr>
        <w:pStyle w:val="ListBullet2"/>
      </w:pPr>
      <w:r w:rsidRPr="00B02127">
        <w:t>product tools</w:t>
      </w:r>
    </w:p>
    <w:p w:rsidR="00000000" w:rsidRPr="00B02127" w:rsidP="00B02127">
      <w:pPr>
        <w:pStyle w:val="ListBullet2"/>
      </w:pPr>
      <w:r w:rsidRPr="00B02127">
        <w:t>communication tools</w:t>
      </w:r>
    </w:p>
    <w:p w:rsidR="00000000" w:rsidRPr="00B02127" w:rsidP="00B02127">
      <w:pPr>
        <w:pStyle w:val="ListBullet"/>
      </w:pPr>
      <w:r w:rsidRPr="00B02127">
        <w:t>mathematical procedures for estimation, measurement and calculation of costings</w:t>
      </w:r>
    </w:p>
    <w:p w:rsidR="00000000" w:rsidRPr="00B02127" w:rsidP="00B02127">
      <w:pPr>
        <w:pStyle w:val="ListBullet"/>
      </w:pPr>
      <w:r w:rsidRPr="00B02127">
        <w:t>b</w:t>
      </w:r>
      <w:r w:rsidRPr="00B02127">
        <w:t>asic light characteristics:</w:t>
      </w:r>
    </w:p>
    <w:p w:rsidR="00000000" w:rsidRPr="00B02127" w:rsidP="00B02127">
      <w:pPr>
        <w:pStyle w:val="ListBullet2"/>
      </w:pPr>
      <w:r w:rsidRPr="00B02127">
        <w:t>natural</w:t>
      </w:r>
    </w:p>
    <w:p w:rsidR="00000000" w:rsidRPr="00B02127" w:rsidP="00B02127">
      <w:pPr>
        <w:pStyle w:val="ListBullet2"/>
      </w:pPr>
      <w:r w:rsidRPr="00B02127">
        <w:t>UV</w:t>
      </w:r>
    </w:p>
    <w:p w:rsidR="00000000" w:rsidRPr="00B02127" w:rsidP="00B02127">
      <w:pPr>
        <w:pStyle w:val="ListBullet2"/>
      </w:pPr>
      <w:r w:rsidRPr="00B02127">
        <w:t>interaction between colour and light</w:t>
      </w:r>
    </w:p>
    <w:p w:rsidR="00000000" w:rsidRPr="00B02127" w:rsidP="00B02127">
      <w:pPr>
        <w:pStyle w:val="ListBullet"/>
      </w:pPr>
      <w:r w:rsidRPr="00B02127">
        <w:t>how aspect and orientation impact light and lighting selection</w:t>
      </w:r>
    </w:p>
    <w:p w:rsidR="00000000" w:rsidRPr="00B02127" w:rsidP="00B02127">
      <w:pPr>
        <w:pStyle w:val="ListBullet"/>
      </w:pPr>
      <w:r w:rsidRPr="00B02127">
        <w:t>artificial light:</w:t>
      </w:r>
    </w:p>
    <w:p w:rsidR="00000000" w:rsidRPr="00B02127" w:rsidP="00B02127">
      <w:pPr>
        <w:pStyle w:val="ListBullet2"/>
      </w:pPr>
      <w:r w:rsidRPr="00B02127">
        <w:t>effects on the colour spectrum</w:t>
      </w:r>
    </w:p>
    <w:p w:rsidR="00000000" w:rsidRPr="00B02127" w:rsidP="00B02127">
      <w:pPr>
        <w:pStyle w:val="ListBullet2"/>
      </w:pPr>
      <w:r w:rsidRPr="00B02127">
        <w:t>energy efficiency</w:t>
      </w:r>
    </w:p>
    <w:p w:rsidR="00000000" w:rsidRPr="00B02127" w:rsidP="00B02127">
      <w:pPr>
        <w:pStyle w:val="ListBullet2"/>
      </w:pPr>
      <w:r w:rsidRPr="00B02127">
        <w:t>special effects that can be achieved</w:t>
      </w:r>
    </w:p>
    <w:p w:rsidR="00000000" w:rsidRPr="00B02127" w:rsidP="00B02127">
      <w:pPr>
        <w:pStyle w:val="ListBullet2"/>
      </w:pPr>
      <w:r w:rsidRPr="00B02127">
        <w:t>technical terminology</w:t>
      </w:r>
    </w:p>
    <w:p w:rsidR="00000000" w:rsidRPr="00B02127" w:rsidP="00B02127">
      <w:pPr>
        <w:pStyle w:val="ListBullet"/>
      </w:pPr>
      <w:r w:rsidRPr="00B02127">
        <w:t>lighting design options and trends in the context of commercial spaces:</w:t>
      </w:r>
    </w:p>
    <w:p w:rsidR="00000000" w:rsidRPr="00B02127" w:rsidP="00B02127">
      <w:pPr>
        <w:pStyle w:val="ListBullet2"/>
      </w:pPr>
      <w:r w:rsidRPr="00B02127">
        <w:t>hospitality</w:t>
      </w:r>
    </w:p>
    <w:p w:rsidR="00000000" w:rsidRPr="00B02127" w:rsidP="00B02127">
      <w:pPr>
        <w:pStyle w:val="ListBullet2"/>
      </w:pPr>
      <w:r w:rsidRPr="00B02127">
        <w:t>multi-residential</w:t>
      </w:r>
    </w:p>
    <w:p w:rsidR="00000000" w:rsidRPr="00B02127" w:rsidP="00B02127">
      <w:pPr>
        <w:pStyle w:val="ListBullet2"/>
      </w:pPr>
      <w:r w:rsidRPr="00B02127">
        <w:t>retail</w:t>
      </w:r>
    </w:p>
    <w:p w:rsidR="00000000" w:rsidRPr="00B02127" w:rsidP="00B02127">
      <w:pPr>
        <w:pStyle w:val="ListBullet2"/>
      </w:pPr>
      <w:r w:rsidRPr="00B02127">
        <w:t>workplace</w:t>
      </w:r>
    </w:p>
    <w:p w:rsidR="00000000" w:rsidRPr="00B02127" w:rsidP="00B02127">
      <w:pPr>
        <w:pStyle w:val="ListBullet"/>
      </w:pPr>
      <w:r w:rsidRPr="00B02127">
        <w:t>sources of information on commercial lighting products and devices</w:t>
      </w:r>
    </w:p>
    <w:p w:rsidR="00000000" w:rsidRPr="00B02127" w:rsidP="00B02127">
      <w:pPr>
        <w:pStyle w:val="ListBullet"/>
      </w:pPr>
      <w:r w:rsidRPr="00B02127">
        <w:t>features and effects of different types of co</w:t>
      </w:r>
      <w:r w:rsidRPr="00B02127">
        <w:t xml:space="preserve">mmercial lighting products </w:t>
      </w:r>
    </w:p>
    <w:p w:rsidR="00000000" w:rsidRPr="00B02127" w:rsidP="00B02127">
      <w:pPr>
        <w:pStyle w:val="ListBullet"/>
      </w:pPr>
      <w:r w:rsidRPr="00B02127">
        <w:t>methods of light control and their uses in different situations</w:t>
      </w:r>
    </w:p>
    <w:p w:rsidR="00000000" w:rsidRPr="00B02127" w:rsidP="00B02127">
      <w:pPr>
        <w:pStyle w:val="ListBullet"/>
      </w:pPr>
      <w:r w:rsidRPr="00B02127">
        <w:t>how furnishing selections impact light in an interior space</w:t>
      </w:r>
    </w:p>
    <w:p w:rsidR="00000000" w:rsidRPr="00B02127" w:rsidP="00B02127">
      <w:pPr>
        <w:pStyle w:val="ListBullet"/>
      </w:pPr>
      <w:r w:rsidRPr="00B02127">
        <w:t>the relationship between lighting and key parameters for:</w:t>
      </w:r>
    </w:p>
    <w:p w:rsidR="00000000" w:rsidRPr="00B02127" w:rsidP="00B02127">
      <w:pPr>
        <w:pStyle w:val="ListBullet2"/>
      </w:pPr>
      <w:r w:rsidRPr="00B02127">
        <w:t>atmosphere and mood</w:t>
      </w:r>
    </w:p>
    <w:p w:rsidR="00000000" w:rsidRPr="00B02127" w:rsidP="00B02127">
      <w:pPr>
        <w:pStyle w:val="ListBullet2"/>
      </w:pPr>
      <w:r w:rsidRPr="00B02127">
        <w:t>activities</w:t>
      </w:r>
      <w:r w:rsidRPr="00B02127">
        <w:t xml:space="preserve"> undertaken in the space</w:t>
      </w:r>
    </w:p>
    <w:p w:rsidR="00000000" w:rsidRPr="00B02127" w:rsidP="00B02127">
      <w:pPr>
        <w:pStyle w:val="ListBullet"/>
      </w:pPr>
      <w:r w:rsidRPr="00B02127">
        <w:t>Australian Standard AS1680 – its purpose and key provisions</w:t>
      </w:r>
    </w:p>
    <w:p w:rsidR="008823AB" w:rsidP="00B02127">
      <w:pPr>
        <w:pStyle w:val="ListBullet"/>
      </w:pPr>
      <w:r w:rsidRPr="00B02127">
        <w:t xml:space="preserve">drawing conventions for lighting formats. </w:t>
      </w:r>
    </w:p>
    <w:p w:rsidR="008823AB" w:rsidP="00B02127">
      <w:pPr>
        <w:pStyle w:val="ListBullet"/>
      </w:pPr>
    </w:p>
    <w:p w:rsidR="00000000" w:rsidRPr="00B02127" w:rsidP="00B02127">
      <w:pPr>
        <w:pStyle w:val="Heading1"/>
      </w:pPr>
      <w:bookmarkStart w:id="4" w:name="O_1013325"/>
      <w:bookmarkEnd w:id="4"/>
      <w:r w:rsidRPr="00B02127">
        <w:t>Assessment Conditions</w:t>
      </w:r>
    </w:p>
    <w:p w:rsidR="00000000" w:rsidRPr="00B02127" w:rsidP="008823AB">
      <w:pPr>
        <w:pStyle w:val="BodyText"/>
      </w:pPr>
      <w:r w:rsidRPr="00B02127">
        <w:t>Skills must have been demonstrated in the workplace or in a simulated environment tha</w:t>
      </w:r>
      <w:r w:rsidRPr="00B02127">
        <w:t xml:space="preserve">t reflects workplace conditions and contingencies. The following conditions must be met for this unit: </w:t>
      </w:r>
    </w:p>
    <w:p w:rsidR="00000000" w:rsidRPr="00B02127" w:rsidP="00B02127">
      <w:pPr>
        <w:pStyle w:val="ListBullet"/>
      </w:pPr>
      <w:r w:rsidRPr="00B02127">
        <w:t xml:space="preserve">use of suitable facilities, equipment and resources, including: </w:t>
      </w:r>
    </w:p>
    <w:p w:rsidR="00000000" w:rsidRPr="00B02127" w:rsidP="00B02127">
      <w:pPr>
        <w:pStyle w:val="ListBullet2"/>
      </w:pPr>
      <w:r w:rsidRPr="00B02127">
        <w:t>design briefs</w:t>
      </w:r>
    </w:p>
    <w:p w:rsidR="00000000" w:rsidRPr="00B02127" w:rsidP="00B02127">
      <w:pPr>
        <w:pStyle w:val="ListBullet2"/>
      </w:pPr>
      <w:r w:rsidRPr="00B02127">
        <w:t>sites for lighting</w:t>
      </w:r>
    </w:p>
    <w:p w:rsidR="00000000" w:rsidRPr="00B02127" w:rsidP="00B02127">
      <w:pPr>
        <w:pStyle w:val="ListBullet2"/>
      </w:pPr>
      <w:r w:rsidRPr="00B02127">
        <w:t>measuring equipment</w:t>
      </w:r>
    </w:p>
    <w:p w:rsidR="00000000" w:rsidRPr="00B02127" w:rsidP="00B02127">
      <w:pPr>
        <w:pStyle w:val="ListBullet2"/>
      </w:pPr>
      <w:r w:rsidRPr="00B02127">
        <w:t>information technology for r</w:t>
      </w:r>
      <w:r w:rsidRPr="00B02127">
        <w:t>esearch and design presentation.</w:t>
      </w:r>
    </w:p>
    <w:p w:rsidR="00000000" w:rsidRPr="00B02127" w:rsidP="008823AB">
      <w:pPr>
        <w:pStyle w:val="BodyText"/>
      </w:pPr>
      <w:r w:rsidRPr="00B02127">
        <w:t>Assessors must satisfy the NVR/AQTF mandatory competency requirements for assessors.</w:t>
      </w:r>
    </w:p>
    <w:p w:rsidR="00000000" w:rsidRPr="00B02127" w:rsidP="00B02127">
      <w:pPr>
        <w:pStyle w:val="Heading1"/>
      </w:pPr>
      <w:bookmarkStart w:id="5" w:name="O_1013328"/>
      <w:bookmarkEnd w:id="5"/>
      <w:r w:rsidRPr="00B02127">
        <w:t>Links</w:t>
      </w:r>
    </w:p>
    <w:p w:rsidR="00000000" w:rsidRPr="00B02127" w:rsidP="008823AB">
      <w:pPr>
        <w:pStyle w:val="BodyText"/>
      </w:pPr>
      <w:r w:rsidRPr="00B021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36F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02127" w:rsidP="00B02127"/>
    <w:sectPr w:rsidSect="00B021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27" w:rsidRPr="008823AB" w:rsidP="00882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AB" w:rsidP="00B02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23AB" w:rsidP="00B02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23AB" w:rsidP="00B02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127" w:rsidRPr="008823AB" w:rsidP="00882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AB" w:rsidRPr="002D2AF8" w:rsidP="00B02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MSFID6010 Design commercial interior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823AB" w:rsidP="00B02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65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EC9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6CF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127"/>
  </w:style>
  <w:style w:type="character" w:customStyle="1" w:styleId="Heading1Char">
    <w:name w:val="Heading 1 Char"/>
    <w:basedOn w:val="DefaultParagraphFont"/>
    <w:link w:val="Heading1"/>
    <w:rsid w:val="00B02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1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21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127"/>
    <w:rPr>
      <w:b/>
      <w:spacing w:val="0"/>
    </w:rPr>
  </w:style>
  <w:style w:type="paragraph" w:customStyle="1" w:styleId="SuperTitle">
    <w:name w:val="SuperTitle"/>
    <w:basedOn w:val="Title"/>
    <w:rsid w:val="00B02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127"/>
    <w:rPr>
      <w:i/>
    </w:rPr>
  </w:style>
  <w:style w:type="paragraph" w:styleId="Caption">
    <w:name w:val="caption"/>
    <w:basedOn w:val="BodyText"/>
    <w:next w:val="Normal"/>
    <w:qFormat/>
    <w:rsid w:val="00B02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127"/>
  </w:style>
  <w:style w:type="paragraph" w:styleId="TableofFigures">
    <w:name w:val="table of figures"/>
    <w:basedOn w:val="Normal"/>
    <w:next w:val="Normal"/>
    <w:semiHidden/>
    <w:rsid w:val="00B02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1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127"/>
    <w:rPr>
      <w:rFonts w:ascii="Wingdings" w:hAnsi="Wingdings"/>
    </w:rPr>
  </w:style>
  <w:style w:type="paragraph" w:customStyle="1" w:styleId="TableHeading">
    <w:name w:val="Table Heading"/>
    <w:basedOn w:val="HeadingBase"/>
    <w:rsid w:val="00B02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127"/>
    <w:rPr>
      <w:color w:val="0033CC"/>
      <w:u w:val="none"/>
    </w:rPr>
  </w:style>
  <w:style w:type="paragraph" w:customStyle="1" w:styleId="BodyTextRight">
    <w:name w:val="Body Text Right"/>
    <w:basedOn w:val="BodyText"/>
    <w:rsid w:val="00B02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1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127"/>
    <w:rPr>
      <w:sz w:val="32"/>
    </w:rPr>
  </w:style>
  <w:style w:type="paragraph" w:customStyle="1" w:styleId="HeadingProcedure">
    <w:name w:val="Heading Procedure"/>
    <w:basedOn w:val="HeadingBase"/>
    <w:next w:val="Normal"/>
    <w:rsid w:val="00B02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127"/>
    <w:pPr>
      <w:spacing w:before="60" w:after="60"/>
    </w:pPr>
  </w:style>
  <w:style w:type="paragraph" w:styleId="ListContinue">
    <w:name w:val="List Continue"/>
    <w:basedOn w:val="List"/>
    <w:rsid w:val="00B02127"/>
    <w:pPr>
      <w:ind w:firstLine="0"/>
    </w:pPr>
  </w:style>
  <w:style w:type="paragraph" w:customStyle="1" w:styleId="ListNote">
    <w:name w:val="List Note"/>
    <w:basedOn w:val="List"/>
    <w:rsid w:val="00B02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127"/>
    <w:rPr>
      <w:rFonts w:ascii="Courier New" w:hAnsi="Courier New"/>
    </w:rPr>
  </w:style>
  <w:style w:type="paragraph" w:customStyle="1" w:styleId="NoteBullet">
    <w:name w:val="Note Bullet"/>
    <w:basedOn w:val="Note"/>
    <w:rsid w:val="00B02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1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127"/>
    <w:rPr>
      <w:b/>
      <w:smallCaps/>
    </w:rPr>
  </w:style>
  <w:style w:type="paragraph" w:customStyle="1" w:styleId="TableListNumber">
    <w:name w:val="Table List Number"/>
    <w:basedOn w:val="ListNumber"/>
    <w:rsid w:val="00B02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127"/>
    <w:pPr>
      <w:numPr>
        <w:numId w:val="9"/>
      </w:numPr>
    </w:pPr>
  </w:style>
  <w:style w:type="paragraph" w:customStyle="1" w:styleId="ListAlpha2">
    <w:name w:val="List Alpha 2"/>
    <w:basedOn w:val="List2"/>
    <w:rsid w:val="00B02127"/>
    <w:pPr>
      <w:numPr>
        <w:numId w:val="8"/>
      </w:numPr>
    </w:pPr>
  </w:style>
  <w:style w:type="paragraph" w:styleId="List2">
    <w:name w:val="List 2"/>
    <w:basedOn w:val="BodyText"/>
    <w:rsid w:val="00B02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1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1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127"/>
    <w:pPr>
      <w:numPr>
        <w:numId w:val="4"/>
      </w:numPr>
    </w:pPr>
  </w:style>
  <w:style w:type="paragraph" w:styleId="ListContinue2">
    <w:name w:val="List Continue 2"/>
    <w:basedOn w:val="List2"/>
    <w:rsid w:val="00B02127"/>
    <w:pPr>
      <w:ind w:firstLine="0"/>
    </w:pPr>
  </w:style>
  <w:style w:type="paragraph" w:styleId="ListContinue3">
    <w:name w:val="List Continue 3"/>
    <w:basedOn w:val="List3"/>
    <w:rsid w:val="00B02127"/>
    <w:pPr>
      <w:ind w:left="1021" w:firstLine="0"/>
    </w:pPr>
  </w:style>
  <w:style w:type="paragraph" w:styleId="ListContinue4">
    <w:name w:val="List Continue 4"/>
    <w:basedOn w:val="List4"/>
    <w:rsid w:val="00B02127"/>
    <w:pPr>
      <w:ind w:firstLine="0"/>
    </w:pPr>
  </w:style>
  <w:style w:type="paragraph" w:styleId="ListContinue5">
    <w:name w:val="List Continue 5"/>
    <w:basedOn w:val="List5"/>
    <w:rsid w:val="00B02127"/>
    <w:pPr>
      <w:ind w:firstLine="0"/>
    </w:pPr>
  </w:style>
  <w:style w:type="paragraph" w:styleId="ListNumber3">
    <w:name w:val="List Number 3"/>
    <w:basedOn w:val="List3"/>
    <w:rsid w:val="00B02127"/>
    <w:pPr>
      <w:numPr>
        <w:numId w:val="5"/>
      </w:numPr>
    </w:pPr>
  </w:style>
  <w:style w:type="paragraph" w:styleId="ListNumber4">
    <w:name w:val="List Number 4"/>
    <w:basedOn w:val="List4"/>
    <w:rsid w:val="00B02127"/>
    <w:pPr>
      <w:numPr>
        <w:numId w:val="6"/>
      </w:numPr>
    </w:pPr>
  </w:style>
  <w:style w:type="paragraph" w:styleId="ListNumber5">
    <w:name w:val="List Number 5"/>
    <w:basedOn w:val="List5"/>
    <w:rsid w:val="00B02127"/>
    <w:pPr>
      <w:numPr>
        <w:numId w:val="7"/>
      </w:numPr>
    </w:pPr>
  </w:style>
  <w:style w:type="paragraph" w:styleId="BlockText">
    <w:name w:val="Block Text"/>
    <w:basedOn w:val="Normal"/>
    <w:rsid w:val="00B02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127"/>
    <w:rPr>
      <w:sz w:val="16"/>
      <w:vertAlign w:val="superscript"/>
    </w:rPr>
  </w:style>
  <w:style w:type="character" w:customStyle="1" w:styleId="Symbols">
    <w:name w:val="Symbols"/>
    <w:basedOn w:val="DefaultParagraphFont"/>
    <w:rsid w:val="00B02127"/>
    <w:rPr>
      <w:rFonts w:ascii="Symbol" w:hAnsi="Symbol"/>
    </w:rPr>
  </w:style>
  <w:style w:type="character" w:customStyle="1" w:styleId="MenuOptions">
    <w:name w:val="Menu Options"/>
    <w:basedOn w:val="DefaultParagraphFont"/>
    <w:rsid w:val="00B02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127"/>
    <w:rPr>
      <w:b/>
    </w:rPr>
  </w:style>
  <w:style w:type="character" w:customStyle="1" w:styleId="Underlined">
    <w:name w:val="Underlined"/>
    <w:basedOn w:val="DefaultParagraphFont"/>
    <w:rsid w:val="00B02127"/>
    <w:rPr>
      <w:u w:val="single"/>
    </w:rPr>
  </w:style>
  <w:style w:type="paragraph" w:customStyle="1" w:styleId="TableBodyTextRight">
    <w:name w:val="Table Body Text Right"/>
    <w:basedOn w:val="TableBodyText"/>
    <w:rsid w:val="00B02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127"/>
    <w:rPr>
      <w:sz w:val="18"/>
    </w:rPr>
  </w:style>
  <w:style w:type="paragraph" w:customStyle="1" w:styleId="BodySmallRight">
    <w:name w:val="Body Small Right"/>
    <w:basedOn w:val="BodyTextRight"/>
    <w:rsid w:val="00B02127"/>
    <w:rPr>
      <w:sz w:val="18"/>
      <w:szCs w:val="18"/>
    </w:rPr>
  </w:style>
  <w:style w:type="paragraph" w:customStyle="1" w:styleId="MarginEdition">
    <w:name w:val="Margin Edition"/>
    <w:basedOn w:val="MarginNote"/>
    <w:rsid w:val="00B02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127"/>
    <w:rPr>
      <w:sz w:val="2"/>
      <w:szCs w:val="2"/>
    </w:rPr>
  </w:style>
  <w:style w:type="character" w:customStyle="1" w:styleId="Small">
    <w:name w:val="Small"/>
    <w:basedOn w:val="DefaultParagraphFont"/>
    <w:rsid w:val="00B02127"/>
    <w:rPr>
      <w:sz w:val="16"/>
    </w:rPr>
  </w:style>
  <w:style w:type="paragraph" w:customStyle="1" w:styleId="WideTable">
    <w:name w:val="Wide Table"/>
    <w:basedOn w:val="Normal"/>
    <w:rsid w:val="00B02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127"/>
  </w:style>
  <w:style w:type="paragraph" w:styleId="Quote">
    <w:name w:val="Quote"/>
    <w:basedOn w:val="Heading1"/>
    <w:link w:val="QuoteChar"/>
    <w:qFormat/>
    <w:rsid w:val="00B02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127"/>
    <w:pPr>
      <w:pageBreakBefore/>
    </w:pPr>
  </w:style>
  <w:style w:type="paragraph" w:customStyle="1" w:styleId="Border">
    <w:name w:val="Border"/>
    <w:basedOn w:val="Normal"/>
    <w:qFormat/>
    <w:rsid w:val="00B02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127"/>
    <w:rPr>
      <w:u w:val="single"/>
    </w:rPr>
  </w:style>
  <w:style w:type="character" w:customStyle="1" w:styleId="BoldandItalics">
    <w:name w:val="Bold and Italics"/>
    <w:qFormat/>
    <w:rsid w:val="00B02127"/>
    <w:rPr>
      <w:b/>
      <w:i/>
      <w:u w:val="none"/>
    </w:rPr>
  </w:style>
  <w:style w:type="paragraph" w:styleId="BalloonText">
    <w:name w:val="Balloon Text"/>
    <w:basedOn w:val="Normal"/>
    <w:link w:val="BalloonTextChar"/>
    <w:rsid w:val="00B02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127"/>
    <w:pPr>
      <w:spacing w:before="0" w:after="0"/>
    </w:pPr>
  </w:style>
  <w:style w:type="paragraph" w:customStyle="1" w:styleId="BodyTextBold">
    <w:name w:val="Body Text Bold"/>
    <w:basedOn w:val="BodyText"/>
    <w:qFormat/>
    <w:rsid w:val="00B02127"/>
    <w:rPr>
      <w:b/>
    </w:rPr>
  </w:style>
  <w:style w:type="character" w:styleId="Hyperlink">
    <w:name w:val="Hyperlink"/>
    <w:basedOn w:val="DefaultParagraphFont"/>
    <w:uiPriority w:val="99"/>
    <w:unhideWhenUsed/>
    <w:rsid w:val="00882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2548</Characters>
  <Application>Microsoft Office Word</Application>
  <DocSecurity>0</DocSecurity>
  <Lines>77</Lines>
  <Paragraphs>69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MSFID6010 Design commercial interior lighting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