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583" w:rsidP="009E6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MSFID5028 Research and recommend artwork</w:t>
      </w:r>
      <w:r>
        <w:fldChar w:fldCharType="end"/>
      </w:r>
    </w:p>
    <w:p w:rsidR="009E6583" w:rsidP="009E6583">
      <w:pPr>
        <w:pStyle w:val="Version"/>
        <w:sectPr w:rsidSect="00F20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11C" w:rsidP="00F2011C">
      <w:pPr>
        <w:pStyle w:val="SuperHeading"/>
      </w:pPr>
      <w:r w:rsidRPr="00F2011C">
        <w:t>Assessment Requirements for MSFID5028 Research and recommend artwork</w:t>
      </w:r>
    </w:p>
    <w:p w:rsidR="00000000" w:rsidRPr="00F2011C" w:rsidP="00F2011C">
      <w:pPr>
        <w:pStyle w:val="Heading1"/>
      </w:pPr>
      <w:bookmarkStart w:id="1" w:name="O_1015079"/>
      <w:bookmarkEnd w:id="1"/>
      <w:r w:rsidRPr="00F2011C">
        <w:t>Modification History</w:t>
      </w:r>
    </w:p>
    <w:p w:rsidR="009E6583" w:rsidP="009E6583">
      <w:pPr>
        <w:pStyle w:val="BodyText"/>
      </w:pPr>
      <w:r w:rsidRPr="00F2011C">
        <w:t>Release 1. Supersedes and is equivalent to MSFID5012 Research and recommend artwork.</w:t>
      </w:r>
    </w:p>
    <w:p w:rsidR="00000000" w:rsidRPr="00F2011C" w:rsidP="00F2011C">
      <w:pPr>
        <w:pStyle w:val="Heading1"/>
      </w:pPr>
      <w:bookmarkStart w:id="2" w:name="O_1015080"/>
      <w:bookmarkEnd w:id="2"/>
      <w:r w:rsidRPr="00F2011C">
        <w:t>Performance Evidence</w:t>
      </w:r>
    </w:p>
    <w:p w:rsidR="00000000" w:rsidRPr="00F2011C" w:rsidP="009E6583">
      <w:pPr>
        <w:pStyle w:val="BodyText"/>
      </w:pPr>
      <w:r w:rsidRPr="00F2011C">
        <w:t xml:space="preserve">There must be evidence the candidate has completed the tasks outlined in the elements and performance criteria of this unit, and: </w:t>
      </w:r>
    </w:p>
    <w:p w:rsidR="00000000" w:rsidRPr="00F2011C" w:rsidP="00F2011C">
      <w:pPr>
        <w:pStyle w:val="ListBullet"/>
      </w:pPr>
      <w:r w:rsidRPr="00F2011C">
        <w:t>researched and presented artwork recommendations in response to different project briefs that individually or cumulatively r</w:t>
      </w:r>
      <w:r w:rsidRPr="00F2011C">
        <w:t>equire solutions for the following:</w:t>
      </w:r>
    </w:p>
    <w:p w:rsidR="00000000" w:rsidRPr="00F2011C" w:rsidP="00F2011C">
      <w:pPr>
        <w:pStyle w:val="ListBullet2"/>
      </w:pPr>
      <w:r w:rsidRPr="00F2011C">
        <w:t>two dimensional (2D) artwork</w:t>
      </w:r>
    </w:p>
    <w:p w:rsidR="00000000" w:rsidRPr="00F2011C" w:rsidP="00F2011C">
      <w:pPr>
        <w:pStyle w:val="ListBullet2"/>
      </w:pPr>
      <w:r w:rsidRPr="00F2011C">
        <w:t>3D artwork</w:t>
      </w:r>
    </w:p>
    <w:p w:rsidR="00000000" w:rsidRPr="00F2011C" w:rsidP="00F2011C">
      <w:pPr>
        <w:pStyle w:val="ListBullet2"/>
      </w:pPr>
      <w:r w:rsidRPr="00F2011C">
        <w:t>artwork for different interior design applications</w:t>
      </w:r>
    </w:p>
    <w:p w:rsidR="00000000" w:rsidRPr="00F2011C" w:rsidP="00F2011C">
      <w:pPr>
        <w:pStyle w:val="ListBullet2"/>
      </w:pPr>
      <w:r w:rsidRPr="00F2011C">
        <w:t>artwork as a style guide for an interior scheme and/or design project.</w:t>
      </w:r>
    </w:p>
    <w:p w:rsidR="00000000" w:rsidRPr="00F2011C" w:rsidP="00F2011C">
      <w:pPr>
        <w:pStyle w:val="AllowPageBreak"/>
      </w:pPr>
    </w:p>
    <w:p w:rsidR="00000000" w:rsidRPr="00F2011C" w:rsidP="00F2011C">
      <w:pPr>
        <w:pStyle w:val="Heading1"/>
      </w:pPr>
      <w:bookmarkStart w:id="3" w:name="O_1015081"/>
      <w:bookmarkEnd w:id="3"/>
      <w:r w:rsidRPr="00F2011C">
        <w:t>Knowledge Evidence</w:t>
      </w:r>
    </w:p>
    <w:p w:rsidR="00000000" w:rsidRPr="00F2011C" w:rsidP="009E6583">
      <w:pPr>
        <w:pStyle w:val="BodyText"/>
      </w:pPr>
      <w:r w:rsidRPr="00F2011C">
        <w:t>There must be evidence the candidate has knowledge of:</w:t>
      </w:r>
    </w:p>
    <w:p w:rsidR="00000000" w:rsidRPr="00F2011C" w:rsidP="00F2011C">
      <w:pPr>
        <w:pStyle w:val="ListBullet"/>
      </w:pPr>
      <w:r w:rsidRPr="00F2011C">
        <w:t>legal and ethical considerations for the provision of product advice, including:</w:t>
      </w:r>
    </w:p>
    <w:p w:rsidR="00000000" w:rsidRPr="00F2011C" w:rsidP="00F2011C">
      <w:pPr>
        <w:pStyle w:val="ListBullet2"/>
      </w:pPr>
      <w:r w:rsidRPr="00F2011C">
        <w:t>individual worker responsibilities under Australian consumer law</w:t>
      </w:r>
    </w:p>
    <w:p w:rsidR="00000000" w:rsidRPr="00F2011C" w:rsidP="00F2011C">
      <w:pPr>
        <w:pStyle w:val="ListBullet2"/>
      </w:pPr>
      <w:r w:rsidRPr="00F2011C">
        <w:t>Australian copyright issues surrounding use of artwor</w:t>
      </w:r>
      <w:r w:rsidRPr="00F2011C">
        <w:t>k and original images in interior design applications</w:t>
      </w:r>
    </w:p>
    <w:p w:rsidR="00000000" w:rsidRPr="00F2011C" w:rsidP="00F2011C">
      <w:pPr>
        <w:pStyle w:val="ListBullet"/>
      </w:pPr>
      <w:r w:rsidRPr="00F2011C">
        <w:t>type and scope of client and/or project brief information needed to inform research and recommendation:</w:t>
      </w:r>
    </w:p>
    <w:p w:rsidR="00000000" w:rsidRPr="00F2011C" w:rsidP="00F2011C">
      <w:pPr>
        <w:pStyle w:val="ListBullet2"/>
      </w:pPr>
      <w:r w:rsidRPr="00F2011C">
        <w:t>budget</w:t>
      </w:r>
    </w:p>
    <w:p w:rsidR="00000000" w:rsidRPr="00F2011C" w:rsidP="00F2011C">
      <w:pPr>
        <w:pStyle w:val="ListBullet2"/>
      </w:pPr>
      <w:r w:rsidRPr="00F2011C">
        <w:t>client preferences</w:t>
      </w:r>
    </w:p>
    <w:p w:rsidR="00000000" w:rsidRPr="00F2011C" w:rsidP="00F2011C">
      <w:pPr>
        <w:pStyle w:val="ListBullet2"/>
      </w:pPr>
      <w:r w:rsidRPr="00F2011C">
        <w:t>aesthetic and functional requirements</w:t>
      </w:r>
    </w:p>
    <w:p w:rsidR="00000000" w:rsidRPr="00F2011C" w:rsidP="00F2011C">
      <w:pPr>
        <w:pStyle w:val="ListBullet2"/>
      </w:pPr>
      <w:r w:rsidRPr="00F2011C">
        <w:t xml:space="preserve">site characteristics </w:t>
      </w:r>
    </w:p>
    <w:p w:rsidR="00000000" w:rsidRPr="00F2011C" w:rsidP="00F2011C">
      <w:pPr>
        <w:pStyle w:val="ListBullet2"/>
      </w:pPr>
      <w:r w:rsidRPr="00F2011C">
        <w:t xml:space="preserve">timeline </w:t>
      </w:r>
    </w:p>
    <w:p w:rsidR="00000000" w:rsidRPr="00F2011C" w:rsidP="00F2011C">
      <w:pPr>
        <w:pStyle w:val="ListBullet"/>
      </w:pPr>
      <w:r w:rsidRPr="00F2011C">
        <w:t>mathematical procedures for estimation and measurement</w:t>
      </w:r>
    </w:p>
    <w:p w:rsidR="00000000" w:rsidRPr="00F2011C" w:rsidP="00F2011C">
      <w:pPr>
        <w:pStyle w:val="ListBullet"/>
      </w:pPr>
      <w:r w:rsidRPr="00F2011C">
        <w:t>how different aspects of space impact on potential solutions, including:</w:t>
      </w:r>
    </w:p>
    <w:p w:rsidR="00000000" w:rsidRPr="00F2011C" w:rsidP="00F2011C">
      <w:pPr>
        <w:pStyle w:val="ListBullet2"/>
      </w:pPr>
      <w:r w:rsidRPr="00F2011C">
        <w:t>colour</w:t>
      </w:r>
    </w:p>
    <w:p w:rsidR="00000000" w:rsidRPr="00F2011C" w:rsidP="00F2011C">
      <w:pPr>
        <w:pStyle w:val="ListBullet2"/>
      </w:pPr>
      <w:r w:rsidRPr="00F2011C">
        <w:t>size</w:t>
      </w:r>
    </w:p>
    <w:p w:rsidR="00000000" w:rsidRPr="00F2011C" w:rsidP="00F2011C">
      <w:pPr>
        <w:pStyle w:val="ListBullet2"/>
      </w:pPr>
      <w:r w:rsidRPr="00F2011C">
        <w:t>shape</w:t>
      </w:r>
    </w:p>
    <w:p w:rsidR="00000000" w:rsidRPr="00F2011C" w:rsidP="00F2011C">
      <w:pPr>
        <w:pStyle w:val="ListBullet2"/>
      </w:pPr>
      <w:r w:rsidRPr="00F2011C">
        <w:t>level of light</w:t>
      </w:r>
    </w:p>
    <w:p w:rsidR="00000000" w:rsidRPr="00F2011C" w:rsidP="00F2011C">
      <w:pPr>
        <w:pStyle w:val="ListBullet2"/>
      </w:pPr>
      <w:r w:rsidRPr="00F2011C">
        <w:t>structural features</w:t>
      </w:r>
    </w:p>
    <w:p w:rsidR="00000000" w:rsidRPr="00F2011C" w:rsidP="00F2011C">
      <w:pPr>
        <w:pStyle w:val="ListBullet"/>
      </w:pPr>
      <w:r w:rsidRPr="00F2011C">
        <w:t>type</w:t>
      </w:r>
      <w:r w:rsidRPr="00F2011C">
        <w:t>s and features of resources that support the provision of design advice, and how they are used, including:</w:t>
      </w:r>
    </w:p>
    <w:p w:rsidR="00000000" w:rsidRPr="00F2011C" w:rsidP="00F2011C">
      <w:pPr>
        <w:pStyle w:val="ListBullet2"/>
      </w:pPr>
      <w:r w:rsidRPr="00F2011C">
        <w:t>research tools</w:t>
      </w:r>
    </w:p>
    <w:p w:rsidR="00000000" w:rsidRPr="00F2011C" w:rsidP="00F2011C">
      <w:pPr>
        <w:pStyle w:val="ListBullet2"/>
      </w:pPr>
      <w:r w:rsidRPr="00F2011C">
        <w:t>product tools</w:t>
      </w:r>
    </w:p>
    <w:p w:rsidR="00000000" w:rsidRPr="00F2011C" w:rsidP="00F2011C">
      <w:pPr>
        <w:pStyle w:val="ListBullet2"/>
      </w:pPr>
      <w:r w:rsidRPr="00F2011C">
        <w:t>communication tools</w:t>
      </w:r>
    </w:p>
    <w:p w:rsidR="00000000" w:rsidRPr="00F2011C" w:rsidP="00F2011C">
      <w:pPr>
        <w:pStyle w:val="ListBullet"/>
      </w:pPr>
      <w:r w:rsidRPr="00F2011C">
        <w:t>sources of information on 2D and 3D artworks, including:</w:t>
      </w:r>
    </w:p>
    <w:p w:rsidR="00000000" w:rsidRPr="00F2011C" w:rsidP="00F2011C">
      <w:pPr>
        <w:pStyle w:val="ListBullet2"/>
      </w:pPr>
      <w:r w:rsidRPr="00F2011C">
        <w:t>how to access</w:t>
      </w:r>
    </w:p>
    <w:p w:rsidR="00000000" w:rsidRPr="00F2011C" w:rsidP="00F2011C">
      <w:pPr>
        <w:pStyle w:val="ListBullet2"/>
      </w:pPr>
      <w:r w:rsidRPr="00F2011C">
        <w:t>ways to identify, interrog</w:t>
      </w:r>
      <w:r w:rsidRPr="00F2011C">
        <w:t>ate and distil information</w:t>
      </w:r>
    </w:p>
    <w:p w:rsidR="00000000" w:rsidRPr="00F2011C" w:rsidP="00F2011C">
      <w:pPr>
        <w:pStyle w:val="ListBullet"/>
      </w:pPr>
      <w:r w:rsidRPr="00F2011C">
        <w:t>elements and principles of design, their interrelationships, and how they are used in interior decoration</w:t>
      </w:r>
    </w:p>
    <w:p w:rsidR="00000000" w:rsidRPr="00F2011C" w:rsidP="00F2011C">
      <w:pPr>
        <w:pStyle w:val="ListBullet"/>
      </w:pPr>
      <w:r w:rsidRPr="00F2011C">
        <w:t>ways to integrate art images and objects into an interior design scheme</w:t>
      </w:r>
    </w:p>
    <w:p w:rsidR="00000000" w:rsidRPr="00F2011C" w:rsidP="00F2011C">
      <w:pPr>
        <w:pStyle w:val="ListBullet"/>
      </w:pPr>
      <w:r w:rsidRPr="00F2011C">
        <w:t>nature of artworks and their characteristics for c</w:t>
      </w:r>
      <w:r w:rsidRPr="00F2011C">
        <w:t>onsideration:</w:t>
      </w:r>
    </w:p>
    <w:p w:rsidR="00000000" w:rsidRPr="00F2011C" w:rsidP="00F2011C">
      <w:pPr>
        <w:pStyle w:val="ListBullet2"/>
      </w:pPr>
      <w:r w:rsidRPr="00F2011C">
        <w:t>art movements</w:t>
      </w:r>
    </w:p>
    <w:p w:rsidR="00000000" w:rsidRPr="00F2011C" w:rsidP="00F2011C">
      <w:pPr>
        <w:pStyle w:val="ListBullet2"/>
      </w:pPr>
      <w:r w:rsidRPr="00F2011C">
        <w:t>artist</w:t>
      </w:r>
    </w:p>
    <w:p w:rsidR="00000000" w:rsidRPr="00F2011C" w:rsidP="00F2011C">
      <w:pPr>
        <w:pStyle w:val="ListBullet2"/>
      </w:pPr>
      <w:r w:rsidRPr="00F2011C">
        <w:t>concept</w:t>
      </w:r>
    </w:p>
    <w:p w:rsidR="00000000" w:rsidRPr="00F2011C" w:rsidP="00F2011C">
      <w:pPr>
        <w:pStyle w:val="ListBullet2"/>
      </w:pPr>
      <w:r w:rsidRPr="00F2011C">
        <w:t>materials/medium</w:t>
      </w:r>
    </w:p>
    <w:p w:rsidR="00000000" w:rsidRPr="00F2011C" w:rsidP="00F2011C">
      <w:pPr>
        <w:pStyle w:val="ListBullet2"/>
      </w:pPr>
      <w:r w:rsidRPr="00F2011C">
        <w:t xml:space="preserve">origin / source </w:t>
      </w:r>
    </w:p>
    <w:p w:rsidR="00000000" w:rsidRPr="00F2011C" w:rsidP="00F2011C">
      <w:pPr>
        <w:pStyle w:val="ListBullet2"/>
      </w:pPr>
      <w:r w:rsidRPr="00F2011C">
        <w:t>uniqueness (original, limited edition, print)</w:t>
      </w:r>
    </w:p>
    <w:p w:rsidR="00000000" w:rsidRPr="00F2011C" w:rsidP="00F2011C">
      <w:pPr>
        <w:pStyle w:val="ListBullet2"/>
      </w:pPr>
      <w:r w:rsidRPr="00F2011C">
        <w:t>whether the art 2D or3D requires specific lighting and/or electrical connections or plumbing</w:t>
      </w:r>
    </w:p>
    <w:p w:rsidR="00000000" w:rsidRPr="00F2011C" w:rsidP="00F2011C">
      <w:pPr>
        <w:pStyle w:val="ListBullet"/>
      </w:pPr>
      <w:r w:rsidRPr="00F2011C">
        <w:t>types and characteristics of different types of frames, framing materials and methods of display:</w:t>
      </w:r>
    </w:p>
    <w:p w:rsidR="00000000" w:rsidRPr="00F2011C" w:rsidP="00F2011C">
      <w:pPr>
        <w:pStyle w:val="ListBullet2"/>
      </w:pPr>
      <w:r w:rsidRPr="00F2011C">
        <w:t>commercial hanging systems / gallery track</w:t>
      </w:r>
    </w:p>
    <w:p w:rsidR="00000000" w:rsidRPr="00F2011C" w:rsidP="00F2011C">
      <w:pPr>
        <w:pStyle w:val="ListBullet2"/>
      </w:pPr>
      <w:r w:rsidRPr="00F2011C">
        <w:t>invisible installation methods</w:t>
      </w:r>
    </w:p>
    <w:p w:rsidR="00000000" w:rsidRPr="00F2011C" w:rsidP="00F2011C">
      <w:pPr>
        <w:pStyle w:val="ListBullet2"/>
      </w:pPr>
      <w:r w:rsidRPr="00F2011C">
        <w:t>picture rails</w:t>
      </w:r>
    </w:p>
    <w:p w:rsidR="00000000" w:rsidRPr="00F2011C" w:rsidP="00F2011C">
      <w:pPr>
        <w:pStyle w:val="ListBullet2"/>
      </w:pPr>
      <w:r w:rsidRPr="00F2011C">
        <w:t>plinths</w:t>
      </w:r>
    </w:p>
    <w:p w:rsidR="00000000" w:rsidRPr="00F2011C" w:rsidP="00F2011C">
      <w:pPr>
        <w:pStyle w:val="ListBullet"/>
      </w:pPr>
      <w:r w:rsidRPr="00F2011C">
        <w:t>art printed interior design materials</w:t>
      </w:r>
    </w:p>
    <w:p w:rsidR="00000000" w:rsidRPr="00F2011C" w:rsidP="00F2011C">
      <w:pPr>
        <w:pStyle w:val="ListBullet"/>
      </w:pPr>
      <w:r w:rsidRPr="00F2011C">
        <w:t>different ways of crea</w:t>
      </w:r>
      <w:r w:rsidRPr="00F2011C">
        <w:t>ting visual representations for design solutions that incorporate two dimensional and/or three dimensional artworks.</w:t>
      </w:r>
    </w:p>
    <w:p w:rsidR="00000000" w:rsidRPr="00F2011C" w:rsidP="00F2011C">
      <w:pPr>
        <w:pStyle w:val="AllowPageBreak"/>
      </w:pPr>
    </w:p>
    <w:p w:rsidR="00000000" w:rsidRPr="00F2011C" w:rsidP="00F2011C">
      <w:pPr>
        <w:pStyle w:val="Heading1"/>
      </w:pPr>
      <w:bookmarkStart w:id="4" w:name="O_1015082"/>
      <w:bookmarkEnd w:id="4"/>
      <w:r w:rsidRPr="00F2011C">
        <w:t>Assessment Conditions</w:t>
      </w:r>
    </w:p>
    <w:p w:rsidR="00000000" w:rsidRPr="00F2011C" w:rsidP="009E6583">
      <w:pPr>
        <w:pStyle w:val="BodyText"/>
      </w:pPr>
      <w:r w:rsidRPr="00F2011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2011C" w:rsidP="00F2011C">
      <w:pPr>
        <w:pStyle w:val="ListBullet"/>
      </w:pPr>
      <w:r w:rsidRPr="00F2011C">
        <w:t xml:space="preserve">use of suitable facilities, equipment and resources, including: </w:t>
      </w:r>
    </w:p>
    <w:p w:rsidR="00000000" w:rsidRPr="00F2011C" w:rsidP="00F2011C">
      <w:pPr>
        <w:pStyle w:val="ListBullet2"/>
      </w:pPr>
      <w:r w:rsidRPr="00F2011C">
        <w:t>design briefs</w:t>
      </w:r>
    </w:p>
    <w:p w:rsidR="00000000" w:rsidRPr="00F2011C" w:rsidP="00F2011C">
      <w:pPr>
        <w:pStyle w:val="ListBullet2"/>
      </w:pPr>
      <w:r w:rsidRPr="00F2011C">
        <w:t>information technology for research and design presentation.</w:t>
      </w:r>
    </w:p>
    <w:p w:rsidR="00000000" w:rsidRPr="00F2011C" w:rsidP="009E6583">
      <w:pPr>
        <w:pStyle w:val="BodyText"/>
      </w:pPr>
      <w:r w:rsidRPr="00F2011C">
        <w:t>Assessors must satisfy the NVR/AQTF mandatory competency requirements for assessors.</w:t>
      </w:r>
    </w:p>
    <w:p w:rsidR="00000000" w:rsidRPr="00F2011C" w:rsidP="00F2011C">
      <w:pPr>
        <w:pStyle w:val="Heading1"/>
      </w:pPr>
      <w:bookmarkStart w:id="5" w:name="O_1015085"/>
      <w:bookmarkEnd w:id="5"/>
      <w:r w:rsidRPr="00F2011C">
        <w:t>Links</w:t>
      </w:r>
    </w:p>
    <w:p w:rsidR="00000000" w:rsidRPr="00F2011C" w:rsidP="009E6583">
      <w:pPr>
        <w:pStyle w:val="BodyText"/>
      </w:pPr>
      <w:r w:rsidRPr="00F201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D3E7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2011C" w:rsidP="00F2011C"/>
    <w:sectPr w:rsidSect="00F201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11C" w:rsidRPr="009E6583" w:rsidP="009E6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583" w:rsidP="00F20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6583" w:rsidP="00F20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6583" w:rsidP="00F20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11C" w:rsidRPr="009E6583" w:rsidP="009E6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583" w:rsidRPr="002D2AF8" w:rsidP="00F20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MSFID5028 Research and recommend artwork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E6583" w:rsidP="00F20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A805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001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E4E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11C"/>
  </w:style>
  <w:style w:type="character" w:customStyle="1" w:styleId="Heading1Char">
    <w:name w:val="Heading 1 Char"/>
    <w:basedOn w:val="DefaultParagraphFont"/>
    <w:link w:val="Heading1"/>
    <w:rsid w:val="00F20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1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1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01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0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1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1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011C"/>
    <w:rPr>
      <w:b/>
      <w:spacing w:val="0"/>
    </w:rPr>
  </w:style>
  <w:style w:type="paragraph" w:customStyle="1" w:styleId="SuperTitle">
    <w:name w:val="SuperTitle"/>
    <w:basedOn w:val="Title"/>
    <w:rsid w:val="00F20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0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1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011C"/>
    <w:rPr>
      <w:i/>
    </w:rPr>
  </w:style>
  <w:style w:type="paragraph" w:styleId="Caption">
    <w:name w:val="caption"/>
    <w:basedOn w:val="BodyText"/>
    <w:next w:val="Normal"/>
    <w:qFormat/>
    <w:rsid w:val="00F20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11C"/>
  </w:style>
  <w:style w:type="paragraph" w:styleId="TableofFigures">
    <w:name w:val="table of figures"/>
    <w:basedOn w:val="Normal"/>
    <w:next w:val="Normal"/>
    <w:semiHidden/>
    <w:rsid w:val="00F20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1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011C"/>
    <w:rPr>
      <w:rFonts w:ascii="Wingdings" w:hAnsi="Wingdings"/>
    </w:rPr>
  </w:style>
  <w:style w:type="paragraph" w:customStyle="1" w:styleId="TableHeading">
    <w:name w:val="Table Heading"/>
    <w:basedOn w:val="HeadingBase"/>
    <w:rsid w:val="00F20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11C"/>
    <w:rPr>
      <w:color w:val="0033CC"/>
      <w:u w:val="none"/>
    </w:rPr>
  </w:style>
  <w:style w:type="paragraph" w:customStyle="1" w:styleId="BodyTextRight">
    <w:name w:val="Body Text Right"/>
    <w:basedOn w:val="BodyText"/>
    <w:rsid w:val="00F20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1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11C"/>
    <w:rPr>
      <w:sz w:val="32"/>
    </w:rPr>
  </w:style>
  <w:style w:type="paragraph" w:customStyle="1" w:styleId="HeadingProcedure">
    <w:name w:val="Heading Procedure"/>
    <w:basedOn w:val="HeadingBase"/>
    <w:next w:val="Normal"/>
    <w:rsid w:val="00F20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11C"/>
    <w:pPr>
      <w:spacing w:before="60" w:after="60"/>
    </w:pPr>
  </w:style>
  <w:style w:type="paragraph" w:styleId="ListContinue">
    <w:name w:val="List Continue"/>
    <w:basedOn w:val="List"/>
    <w:rsid w:val="00F2011C"/>
    <w:pPr>
      <w:ind w:firstLine="0"/>
    </w:pPr>
  </w:style>
  <w:style w:type="paragraph" w:customStyle="1" w:styleId="ListNote">
    <w:name w:val="List Note"/>
    <w:basedOn w:val="List"/>
    <w:rsid w:val="00F20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11C"/>
    <w:rPr>
      <w:rFonts w:ascii="Courier New" w:hAnsi="Courier New"/>
    </w:rPr>
  </w:style>
  <w:style w:type="paragraph" w:customStyle="1" w:styleId="NoteBullet">
    <w:name w:val="Note Bullet"/>
    <w:basedOn w:val="Note"/>
    <w:rsid w:val="00F20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1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0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11C"/>
    <w:rPr>
      <w:b/>
      <w:smallCaps/>
    </w:rPr>
  </w:style>
  <w:style w:type="paragraph" w:customStyle="1" w:styleId="TableListNumber">
    <w:name w:val="Table List Number"/>
    <w:basedOn w:val="ListNumber"/>
    <w:rsid w:val="00F20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11C"/>
    <w:pPr>
      <w:numPr>
        <w:numId w:val="9"/>
      </w:numPr>
    </w:pPr>
  </w:style>
  <w:style w:type="paragraph" w:customStyle="1" w:styleId="ListAlpha2">
    <w:name w:val="List Alpha 2"/>
    <w:basedOn w:val="List2"/>
    <w:rsid w:val="00F2011C"/>
    <w:pPr>
      <w:numPr>
        <w:numId w:val="8"/>
      </w:numPr>
    </w:pPr>
  </w:style>
  <w:style w:type="paragraph" w:styleId="List2">
    <w:name w:val="List 2"/>
    <w:basedOn w:val="BodyText"/>
    <w:rsid w:val="00F20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1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1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011C"/>
    <w:pPr>
      <w:numPr>
        <w:numId w:val="4"/>
      </w:numPr>
    </w:pPr>
  </w:style>
  <w:style w:type="paragraph" w:styleId="ListContinue2">
    <w:name w:val="List Continue 2"/>
    <w:basedOn w:val="List2"/>
    <w:rsid w:val="00F2011C"/>
    <w:pPr>
      <w:ind w:firstLine="0"/>
    </w:pPr>
  </w:style>
  <w:style w:type="paragraph" w:styleId="ListContinue3">
    <w:name w:val="List Continue 3"/>
    <w:basedOn w:val="List3"/>
    <w:rsid w:val="00F2011C"/>
    <w:pPr>
      <w:ind w:left="1021" w:firstLine="0"/>
    </w:pPr>
  </w:style>
  <w:style w:type="paragraph" w:styleId="ListContinue4">
    <w:name w:val="List Continue 4"/>
    <w:basedOn w:val="List4"/>
    <w:rsid w:val="00F2011C"/>
    <w:pPr>
      <w:ind w:firstLine="0"/>
    </w:pPr>
  </w:style>
  <w:style w:type="paragraph" w:styleId="ListContinue5">
    <w:name w:val="List Continue 5"/>
    <w:basedOn w:val="List5"/>
    <w:rsid w:val="00F2011C"/>
    <w:pPr>
      <w:ind w:firstLine="0"/>
    </w:pPr>
  </w:style>
  <w:style w:type="paragraph" w:styleId="ListNumber3">
    <w:name w:val="List Number 3"/>
    <w:basedOn w:val="List3"/>
    <w:rsid w:val="00F2011C"/>
    <w:pPr>
      <w:numPr>
        <w:numId w:val="5"/>
      </w:numPr>
    </w:pPr>
  </w:style>
  <w:style w:type="paragraph" w:styleId="ListNumber4">
    <w:name w:val="List Number 4"/>
    <w:basedOn w:val="List4"/>
    <w:rsid w:val="00F2011C"/>
    <w:pPr>
      <w:numPr>
        <w:numId w:val="6"/>
      </w:numPr>
    </w:pPr>
  </w:style>
  <w:style w:type="paragraph" w:styleId="ListNumber5">
    <w:name w:val="List Number 5"/>
    <w:basedOn w:val="List5"/>
    <w:rsid w:val="00F2011C"/>
    <w:pPr>
      <w:numPr>
        <w:numId w:val="7"/>
      </w:numPr>
    </w:pPr>
  </w:style>
  <w:style w:type="paragraph" w:styleId="BlockText">
    <w:name w:val="Block Text"/>
    <w:basedOn w:val="Normal"/>
    <w:rsid w:val="00F20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11C"/>
    <w:rPr>
      <w:sz w:val="16"/>
      <w:vertAlign w:val="superscript"/>
    </w:rPr>
  </w:style>
  <w:style w:type="character" w:customStyle="1" w:styleId="Symbols">
    <w:name w:val="Symbols"/>
    <w:basedOn w:val="DefaultParagraphFont"/>
    <w:rsid w:val="00F2011C"/>
    <w:rPr>
      <w:rFonts w:ascii="Symbol" w:hAnsi="Symbol"/>
    </w:rPr>
  </w:style>
  <w:style w:type="character" w:customStyle="1" w:styleId="MenuOptions">
    <w:name w:val="Menu Options"/>
    <w:basedOn w:val="DefaultParagraphFont"/>
    <w:rsid w:val="00F20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11C"/>
    <w:rPr>
      <w:b/>
    </w:rPr>
  </w:style>
  <w:style w:type="character" w:customStyle="1" w:styleId="Underlined">
    <w:name w:val="Underlined"/>
    <w:basedOn w:val="DefaultParagraphFont"/>
    <w:rsid w:val="00F2011C"/>
    <w:rPr>
      <w:u w:val="single"/>
    </w:rPr>
  </w:style>
  <w:style w:type="paragraph" w:customStyle="1" w:styleId="TableBodyTextRight">
    <w:name w:val="Table Body Text Right"/>
    <w:basedOn w:val="TableBodyText"/>
    <w:rsid w:val="00F20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11C"/>
    <w:rPr>
      <w:sz w:val="18"/>
    </w:rPr>
  </w:style>
  <w:style w:type="paragraph" w:customStyle="1" w:styleId="BodySmallRight">
    <w:name w:val="Body Small Right"/>
    <w:basedOn w:val="BodyTextRight"/>
    <w:rsid w:val="00F2011C"/>
    <w:rPr>
      <w:sz w:val="18"/>
      <w:szCs w:val="18"/>
    </w:rPr>
  </w:style>
  <w:style w:type="paragraph" w:customStyle="1" w:styleId="MarginEdition">
    <w:name w:val="Margin Edition"/>
    <w:basedOn w:val="MarginNote"/>
    <w:rsid w:val="00F20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11C"/>
    <w:rPr>
      <w:sz w:val="2"/>
      <w:szCs w:val="2"/>
    </w:rPr>
  </w:style>
  <w:style w:type="character" w:customStyle="1" w:styleId="Small">
    <w:name w:val="Small"/>
    <w:basedOn w:val="DefaultParagraphFont"/>
    <w:rsid w:val="00F2011C"/>
    <w:rPr>
      <w:sz w:val="16"/>
    </w:rPr>
  </w:style>
  <w:style w:type="paragraph" w:customStyle="1" w:styleId="WideTable">
    <w:name w:val="Wide Table"/>
    <w:basedOn w:val="Normal"/>
    <w:rsid w:val="00F20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11C"/>
  </w:style>
  <w:style w:type="paragraph" w:styleId="Quote">
    <w:name w:val="Quote"/>
    <w:basedOn w:val="Heading1"/>
    <w:link w:val="QuoteChar"/>
    <w:qFormat/>
    <w:rsid w:val="00F20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11C"/>
    <w:pPr>
      <w:pageBreakBefore/>
    </w:pPr>
  </w:style>
  <w:style w:type="paragraph" w:customStyle="1" w:styleId="Border">
    <w:name w:val="Border"/>
    <w:basedOn w:val="Normal"/>
    <w:qFormat/>
    <w:rsid w:val="00F20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11C"/>
    <w:rPr>
      <w:u w:val="single"/>
    </w:rPr>
  </w:style>
  <w:style w:type="character" w:customStyle="1" w:styleId="BoldandItalics">
    <w:name w:val="Bold and Italics"/>
    <w:qFormat/>
    <w:rsid w:val="00F2011C"/>
    <w:rPr>
      <w:b/>
      <w:i/>
      <w:u w:val="none"/>
    </w:rPr>
  </w:style>
  <w:style w:type="paragraph" w:styleId="BalloonText">
    <w:name w:val="Balloon Text"/>
    <w:basedOn w:val="Normal"/>
    <w:link w:val="BalloonTextChar"/>
    <w:rsid w:val="00F20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11C"/>
    <w:pPr>
      <w:spacing w:before="0" w:after="0"/>
    </w:pPr>
  </w:style>
  <w:style w:type="paragraph" w:customStyle="1" w:styleId="BodyTextBold">
    <w:name w:val="Body Text Bold"/>
    <w:basedOn w:val="BodyText"/>
    <w:qFormat/>
    <w:rsid w:val="00F2011C"/>
    <w:rPr>
      <w:b/>
    </w:rPr>
  </w:style>
  <w:style w:type="character" w:styleId="Hyperlink">
    <w:name w:val="Hyperlink"/>
    <w:basedOn w:val="DefaultParagraphFont"/>
    <w:uiPriority w:val="99"/>
    <w:unhideWhenUsed/>
    <w:rsid w:val="009E6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2869</Characters>
  <Application>Microsoft Office Word</Application>
  <DocSecurity>0</DocSecurity>
  <Lines>84</Lines>
  <Paragraphs>73</Paragraphs>
  <ScaleCrop>false</ScaleCrop>
  <Company>Author-it Software Corporation Ltd.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MSFID5028 Research and recommend artwork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2022-12-21T05:16:00Z</dcterms:created>
  <dcterms:modified xsi:type="dcterms:W3CDTF">2022-12-21T05:16:00Z</dcterms:modified>
</cp:coreProperties>
</file>