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6C25" w:rsidP="008B6C25">
      <w:pPr>
        <w:pStyle w:val="Title"/>
      </w:pPr>
      <w:r>
        <w:fldChar w:fldCharType="begin"/>
      </w:r>
      <w:r>
        <w:instrText xml:space="preserve"> TITLE   \* MERGEFORMAT </w:instrText>
      </w:r>
      <w:r>
        <w:fldChar w:fldCharType="separate"/>
      </w:r>
      <w:r>
        <w:t>MSFID5011 Specify soft furnishings for complete interior solution</w:t>
      </w:r>
      <w:r>
        <w:fldChar w:fldCharType="end"/>
      </w:r>
    </w:p>
    <w:p w:rsidR="008B6C25" w:rsidP="008B6C25">
      <w:pPr>
        <w:pStyle w:val="Version"/>
        <w:sectPr w:rsidSect="000B0C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0C68" w:rsidP="000B0C68">
      <w:pPr>
        <w:pStyle w:val="SuperHeading"/>
      </w:pPr>
      <w:r w:rsidRPr="000B0C68">
        <w:t>MSFID5011 Specify soft furnishings for complete interior solution</w:t>
      </w:r>
    </w:p>
    <w:p w:rsidR="00000000" w:rsidRPr="000B0C68" w:rsidP="000B0C68">
      <w:pPr>
        <w:pStyle w:val="Heading1"/>
      </w:pPr>
      <w:bookmarkStart w:id="1" w:name="O_629242"/>
      <w:bookmarkEnd w:id="1"/>
      <w:r w:rsidRPr="000B0C68">
        <w:t>Modification History</w:t>
      </w:r>
    </w:p>
    <w:p w:rsidR="00000000" w:rsidRPr="000B0C68" w:rsidP="000B0C68">
      <w:pPr>
        <w:pStyle w:val="BodyText"/>
      </w:pPr>
      <w:r w:rsidRPr="000B0C68">
        <w:t>Release 1 - New unit of competency</w:t>
      </w:r>
    </w:p>
    <w:p w:rsidR="00000000" w:rsidRPr="000B0C68" w:rsidP="000B0C68">
      <w:pPr>
        <w:pStyle w:val="AllowPageBreak"/>
      </w:pPr>
    </w:p>
    <w:p w:rsidR="00000000" w:rsidRPr="000B0C68" w:rsidP="000B0C68">
      <w:pPr>
        <w:pStyle w:val="Heading1"/>
      </w:pPr>
      <w:bookmarkStart w:id="2" w:name="O_629250"/>
      <w:bookmarkEnd w:id="2"/>
      <w:r w:rsidRPr="000B0C68">
        <w:t>Application</w:t>
      </w:r>
    </w:p>
    <w:p w:rsidR="00000000" w:rsidRPr="000B0C68" w:rsidP="000B0C68">
      <w:pPr>
        <w:pStyle w:val="BodyText"/>
      </w:pPr>
      <w:r w:rsidRPr="000B0C68">
        <w:t>This unit of competency covers researching, specifying and recommending innovative and cost-effective styles, technologies and decorative solutions to enha</w:t>
      </w:r>
      <w:r w:rsidRPr="000B0C68">
        <w:t>nce and complement interior design schemes using soft furnishings.</w:t>
      </w:r>
    </w:p>
    <w:p w:rsidR="00000000" w:rsidRPr="000B0C68" w:rsidP="000B0C68">
      <w:pPr>
        <w:pStyle w:val="BodyText"/>
      </w:pPr>
    </w:p>
    <w:p w:rsidR="00000000" w:rsidRPr="000B0C68" w:rsidP="000B0C68">
      <w:pPr>
        <w:pStyle w:val="BodyText"/>
      </w:pPr>
      <w:r w:rsidRPr="000B0C68">
        <w:t>No licensing, legislative or certification requirements apply to this unit at the time of publication.</w:t>
      </w:r>
    </w:p>
    <w:p w:rsidR="00000000" w:rsidRPr="000B0C68" w:rsidP="000B0C68">
      <w:pPr>
        <w:pStyle w:val="AllowPageBreak"/>
      </w:pPr>
    </w:p>
    <w:p w:rsidR="00000000" w:rsidRPr="000B0C68" w:rsidP="000B0C68">
      <w:pPr>
        <w:pStyle w:val="Heading1"/>
      </w:pPr>
      <w:bookmarkStart w:id="3" w:name="O_629249"/>
      <w:bookmarkEnd w:id="3"/>
      <w:r w:rsidRPr="000B0C68">
        <w:t>Pre-requisite Unit</w:t>
      </w:r>
    </w:p>
    <w:p w:rsidR="00000000" w:rsidRPr="000B0C68" w:rsidP="000B0C68">
      <w:pPr>
        <w:pStyle w:val="Heading1"/>
      </w:pPr>
      <w:bookmarkStart w:id="4" w:name="O_629248"/>
      <w:bookmarkEnd w:id="4"/>
      <w:r w:rsidRPr="000B0C68">
        <w:t>Competency Field</w:t>
      </w:r>
    </w:p>
    <w:p w:rsidR="00000000" w:rsidRPr="000B0C68" w:rsidP="000B0C68">
      <w:pPr>
        <w:pStyle w:val="Heading1"/>
      </w:pPr>
      <w:bookmarkStart w:id="5" w:name="O_629247"/>
      <w:bookmarkEnd w:id="5"/>
      <w:r w:rsidRPr="000B0C68">
        <w:t>Unit Sector</w:t>
      </w:r>
    </w:p>
    <w:p w:rsidR="00000000" w:rsidRPr="000B0C68" w:rsidP="000B0C68">
      <w:pPr>
        <w:pStyle w:val="BodyText"/>
      </w:pPr>
      <w:r w:rsidRPr="000B0C68">
        <w:t>Interior Decoration and Design</w:t>
      </w:r>
    </w:p>
    <w:p w:rsidR="00000000" w:rsidRPr="000B0C68" w:rsidP="000B0C68">
      <w:pPr>
        <w:pStyle w:val="AllowPageBreak"/>
      </w:pPr>
    </w:p>
    <w:p w:rsidR="00000000" w:rsidRPr="000B0C68" w:rsidP="000B0C68">
      <w:pPr>
        <w:pStyle w:val="Heading1"/>
      </w:pPr>
      <w:bookmarkStart w:id="6" w:name="O_629246"/>
      <w:bookmarkEnd w:id="6"/>
      <w:r w:rsidRPr="000B0C68">
        <w:t>Elements and Performance Criteria</w:t>
      </w:r>
    </w:p>
    <w:tbl>
      <w:tblPr>
        <w:tblW w:w="9286" w:type="dxa"/>
        <w:tblLayout w:type="fixed"/>
        <w:tblCellMar>
          <w:left w:w="62" w:type="dxa"/>
          <w:right w:w="62" w:type="dxa"/>
        </w:tblCellMar>
        <w:tblLook w:val="0000"/>
      </w:tblPr>
      <w:tblGrid>
        <w:gridCol w:w="450"/>
        <w:gridCol w:w="2309"/>
        <w:gridCol w:w="661"/>
        <w:gridCol w:w="5866"/>
      </w:tblGrid>
      <w:tr w:rsidTr="000B0C68">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Performance criteria describe the performance needed to demonstrate achievement of the element.</w:t>
            </w:r>
          </w:p>
        </w:tc>
      </w:tr>
      <w:tr w:rsidTr="000B0C68">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1</w:t>
            </w:r>
          </w:p>
        </w:tc>
        <w:tc>
          <w:tcPr>
            <w:tcW w:w="2309"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Assess project requirements</w:t>
            </w:r>
          </w:p>
        </w:tc>
        <w:tc>
          <w:tcPr>
            <w:tcW w:w="661"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1.1</w:t>
            </w:r>
          </w:p>
        </w:tc>
        <w:tc>
          <w:tcPr>
            <w:tcW w:w="5866"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Applicable work health and safety (WHS), legislative and organisational requirements relevant to researching and recommending decorative solutions are verified and complied with</w:t>
            </w:r>
          </w:p>
        </w:tc>
      </w:tr>
      <w:tr w:rsidTr="000B0C68">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1.2</w:t>
            </w:r>
          </w:p>
        </w:tc>
        <w:tc>
          <w:tcPr>
            <w:tcW w:w="5866"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Project brief is reviewed, confirmed an</w:t>
            </w:r>
            <w:r w:rsidRPr="000B0C68">
              <w:t>d clarified with client</w:t>
            </w:r>
          </w:p>
        </w:tc>
      </w:tr>
      <w:tr w:rsidTr="000B0C68">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1.3</w:t>
            </w:r>
          </w:p>
        </w:tc>
        <w:tc>
          <w:tcPr>
            <w:tcW w:w="5866"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Parameters for the project are assessed and confirmed</w:t>
            </w:r>
          </w:p>
        </w:tc>
      </w:tr>
      <w:tr w:rsidTr="000B0C68">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1.4</w:t>
            </w:r>
          </w:p>
        </w:tc>
        <w:tc>
          <w:tcPr>
            <w:tcW w:w="5866"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Resources are selected appropriate to work requirements and checked for operational effectiveness</w:t>
            </w:r>
          </w:p>
        </w:tc>
      </w:tr>
      <w:tr w:rsidTr="000B0C68">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1.5</w:t>
            </w:r>
          </w:p>
        </w:tc>
        <w:tc>
          <w:tcPr>
            <w:tcW w:w="5866"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 xml:space="preserve">Communication with others is established and maintained </w:t>
            </w:r>
          </w:p>
        </w:tc>
      </w:tr>
      <w:tr w:rsidTr="000B0C68">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1.6</w:t>
            </w:r>
          </w:p>
        </w:tc>
        <w:tc>
          <w:tcPr>
            <w:tcW w:w="5866"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 xml:space="preserve">Intended applications and effects for the windows, </w:t>
            </w:r>
            <w:r w:rsidRPr="000B0C68">
              <w:t xml:space="preserve">furniture and soft furnishings are identified </w:t>
            </w:r>
          </w:p>
        </w:tc>
      </w:tr>
      <w:tr w:rsidTr="000B0C68">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2</w:t>
            </w:r>
          </w:p>
        </w:tc>
        <w:tc>
          <w:tcPr>
            <w:tcW w:w="2309"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Determine decorative treatments for windows and openings</w:t>
            </w:r>
          </w:p>
        </w:tc>
        <w:tc>
          <w:tcPr>
            <w:tcW w:w="661"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2.1</w:t>
            </w:r>
          </w:p>
        </w:tc>
        <w:tc>
          <w:tcPr>
            <w:tcW w:w="5866"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 xml:space="preserve">Window treatments, their application and fixing technologies are researched to determine </w:t>
            </w:r>
            <w:r w:rsidRPr="000B0C68">
              <w:t>suitability for client requirements</w:t>
            </w:r>
          </w:p>
        </w:tc>
      </w:tr>
      <w:tr w:rsidTr="000B0C68">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2.2</w:t>
            </w:r>
          </w:p>
        </w:tc>
        <w:tc>
          <w:tcPr>
            <w:tcW w:w="5866"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New technologies in window treatments are researched and relevance for decorative project s identified</w:t>
            </w:r>
          </w:p>
        </w:tc>
      </w:tr>
      <w:tr w:rsidTr="000B0C68">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2.3</w:t>
            </w:r>
          </w:p>
        </w:tc>
        <w:tc>
          <w:tcPr>
            <w:tcW w:w="5866"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The types of openings and their requirements are identified and a range of possible creative solutions determined</w:t>
            </w:r>
          </w:p>
        </w:tc>
      </w:tr>
      <w:tr w:rsidTr="000B0C68">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2.4</w:t>
            </w:r>
          </w:p>
        </w:tc>
        <w:tc>
          <w:tcPr>
            <w:tcW w:w="5866"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Window or opening is measured and details recorded accurately for a range of window treatments</w:t>
            </w:r>
          </w:p>
        </w:tc>
      </w:tr>
      <w:tr w:rsidTr="000B0C68">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2.5</w:t>
            </w:r>
          </w:p>
        </w:tc>
        <w:tc>
          <w:tcPr>
            <w:tcW w:w="5866"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Fabric requirements are calculate</w:t>
            </w:r>
            <w:r w:rsidRPr="000B0C68">
              <w:t>d and manufacturing requirements determined for a range of window treatments taking into consideration pattern repeats</w:t>
            </w:r>
          </w:p>
        </w:tc>
      </w:tr>
      <w:tr w:rsidTr="000B0C68">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3</w:t>
            </w:r>
          </w:p>
        </w:tc>
        <w:tc>
          <w:tcPr>
            <w:tcW w:w="2309"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Specify furniture transformation</w:t>
            </w:r>
          </w:p>
        </w:tc>
        <w:tc>
          <w:tcPr>
            <w:tcW w:w="661"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3.1</w:t>
            </w:r>
          </w:p>
        </w:tc>
        <w:tc>
          <w:tcPr>
            <w:tcW w:w="5866"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Methods of transforming a range of furniture and furnishings are researched</w:t>
            </w:r>
          </w:p>
        </w:tc>
      </w:tr>
      <w:tr w:rsidTr="000B0C68">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3.2</w:t>
            </w:r>
          </w:p>
        </w:tc>
        <w:tc>
          <w:tcPr>
            <w:tcW w:w="5866"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Design considerations are investigated and assessed against the project brief</w:t>
            </w:r>
          </w:p>
        </w:tc>
      </w:tr>
      <w:tr w:rsidTr="000B0C68">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3.3</w:t>
            </w:r>
          </w:p>
        </w:tc>
        <w:tc>
          <w:tcPr>
            <w:tcW w:w="5866"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Fabrics and materials are selected for furniture</w:t>
            </w:r>
          </w:p>
        </w:tc>
      </w:tr>
      <w:tr w:rsidTr="000B0C68">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3.4</w:t>
            </w:r>
          </w:p>
        </w:tc>
        <w:tc>
          <w:tcPr>
            <w:tcW w:w="5866"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Furniture transformation ideas are documented and specified</w:t>
            </w:r>
          </w:p>
        </w:tc>
      </w:tr>
      <w:tr w:rsidTr="000B0C68">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3.5</w:t>
            </w:r>
          </w:p>
        </w:tc>
        <w:tc>
          <w:tcPr>
            <w:tcW w:w="5866"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Cost estimates are calculated and assessed again</w:t>
            </w:r>
            <w:r w:rsidRPr="000B0C68">
              <w:t>st project budget</w:t>
            </w:r>
          </w:p>
        </w:tc>
      </w:tr>
      <w:tr w:rsidTr="000B0C68">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4</w:t>
            </w:r>
          </w:p>
        </w:tc>
        <w:tc>
          <w:tcPr>
            <w:tcW w:w="2309"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Specify soft floor coverings</w:t>
            </w:r>
          </w:p>
        </w:tc>
        <w:tc>
          <w:tcPr>
            <w:tcW w:w="661"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4.1</w:t>
            </w:r>
          </w:p>
        </w:tc>
        <w:tc>
          <w:tcPr>
            <w:tcW w:w="5866"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Range of floor coverings available for application are identified and analysed to determine most suitable fit</w:t>
            </w:r>
          </w:p>
        </w:tc>
      </w:tr>
      <w:tr w:rsidTr="000B0C68">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4.2</w:t>
            </w:r>
          </w:p>
        </w:tc>
        <w:tc>
          <w:tcPr>
            <w:tcW w:w="5866"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New technologies in flooring are researched and relevance for decorative project identified</w:t>
            </w:r>
          </w:p>
        </w:tc>
      </w:tr>
      <w:tr w:rsidTr="000B0C68">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4.3</w:t>
            </w:r>
          </w:p>
        </w:tc>
        <w:tc>
          <w:tcPr>
            <w:tcW w:w="5866"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The features, limitations and environmental impact of selected floor covering is assessed against performance requirements and environmental standards</w:t>
            </w:r>
          </w:p>
        </w:tc>
      </w:tr>
      <w:tr w:rsidTr="000B0C68">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4.4</w:t>
            </w:r>
          </w:p>
        </w:tc>
        <w:tc>
          <w:tcPr>
            <w:tcW w:w="5866"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Floor area is measured and specifications recorded for flooring solution</w:t>
            </w:r>
          </w:p>
        </w:tc>
      </w:tr>
      <w:tr w:rsidTr="000B0C68">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4.5</w:t>
            </w:r>
          </w:p>
        </w:tc>
        <w:tc>
          <w:tcPr>
            <w:tcW w:w="5866"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Costs are calculated and assessed against project budget</w:t>
            </w:r>
          </w:p>
        </w:tc>
      </w:tr>
      <w:tr w:rsidTr="000B0C68">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5</w:t>
            </w:r>
          </w:p>
        </w:tc>
        <w:tc>
          <w:tcPr>
            <w:tcW w:w="2309"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Specify soft furnishings</w:t>
            </w:r>
          </w:p>
        </w:tc>
        <w:tc>
          <w:tcPr>
            <w:tcW w:w="661"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5.1</w:t>
            </w:r>
          </w:p>
        </w:tc>
        <w:tc>
          <w:tcPr>
            <w:tcW w:w="5866"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Soft furnishings are selected to meet the requirements of the brief and the overall design scheme</w:t>
            </w:r>
          </w:p>
        </w:tc>
      </w:tr>
      <w:tr w:rsidTr="000B0C68">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5.2</w:t>
            </w:r>
          </w:p>
        </w:tc>
        <w:tc>
          <w:tcPr>
            <w:tcW w:w="5866"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Specifications are documented to record colour, sizing, style and fabric details</w:t>
            </w:r>
          </w:p>
        </w:tc>
      </w:tr>
      <w:tr w:rsidTr="000B0C68">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5.3</w:t>
            </w:r>
          </w:p>
        </w:tc>
        <w:tc>
          <w:tcPr>
            <w:tcW w:w="5866"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Arrangement of soft furnishings is documented in design schedul</w:t>
            </w:r>
            <w:r w:rsidRPr="000B0C68">
              <w:t>es</w:t>
            </w:r>
          </w:p>
        </w:tc>
      </w:tr>
      <w:tr w:rsidTr="000B0C68">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5.4</w:t>
            </w:r>
          </w:p>
        </w:tc>
        <w:tc>
          <w:tcPr>
            <w:tcW w:w="5866"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Costs of soft furnishings are calculated and assessed against project budget</w:t>
            </w:r>
          </w:p>
        </w:tc>
      </w:tr>
      <w:tr w:rsidTr="000B0C68">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6</w:t>
            </w:r>
          </w:p>
        </w:tc>
        <w:tc>
          <w:tcPr>
            <w:tcW w:w="2309"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Document and present decorative recommendations</w:t>
            </w:r>
          </w:p>
        </w:tc>
        <w:tc>
          <w:tcPr>
            <w:tcW w:w="661"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6.1</w:t>
            </w:r>
          </w:p>
        </w:tc>
        <w:tc>
          <w:tcPr>
            <w:tcW w:w="5866"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Innovative design solution to brief is presented taking into consideration parameters of design brief</w:t>
            </w:r>
          </w:p>
        </w:tc>
      </w:tr>
      <w:tr w:rsidTr="000B0C68">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6.2</w:t>
            </w:r>
          </w:p>
        </w:tc>
        <w:tc>
          <w:tcPr>
            <w:tcW w:w="5866"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Fabrics, furnishings and fixing technologies are selected taking into consideration parameters of project brief</w:t>
            </w:r>
          </w:p>
        </w:tc>
      </w:tr>
      <w:tr w:rsidTr="000B0C68">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6.3</w:t>
            </w:r>
          </w:p>
        </w:tc>
        <w:tc>
          <w:tcPr>
            <w:tcW w:w="5866"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 xml:space="preserve">Specifications are documented for all treatment recommendations </w:t>
            </w:r>
          </w:p>
        </w:tc>
      </w:tr>
      <w:tr w:rsidTr="000B0C68">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6.4</w:t>
            </w:r>
          </w:p>
        </w:tc>
        <w:tc>
          <w:tcPr>
            <w:tcW w:w="5866"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 xml:space="preserve">Schedule is presented that includes both high and low costing to </w:t>
            </w:r>
            <w:r w:rsidRPr="000B0C68">
              <w:t xml:space="preserve">support design solution </w:t>
            </w:r>
          </w:p>
        </w:tc>
      </w:tr>
      <w:tr w:rsidTr="000B0C68">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6.5</w:t>
            </w:r>
          </w:p>
        </w:tc>
        <w:tc>
          <w:tcPr>
            <w:tcW w:w="5866"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Solution to brief is visualised graphically and in 3-D form</w:t>
            </w:r>
          </w:p>
        </w:tc>
      </w:tr>
      <w:tr w:rsidTr="000B0C68">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6.6</w:t>
            </w:r>
          </w:p>
        </w:tc>
        <w:tc>
          <w:tcPr>
            <w:tcW w:w="5866"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Sample board is created to enhance and support the design intention</w:t>
            </w:r>
          </w:p>
        </w:tc>
      </w:tr>
      <w:tr w:rsidTr="000B0C68">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6.7</w:t>
            </w:r>
          </w:p>
        </w:tc>
        <w:tc>
          <w:tcPr>
            <w:tcW w:w="5866" w:type="dxa"/>
            <w:tcBorders>
              <w:top w:val="nil"/>
              <w:left w:val="nil"/>
              <w:bottom w:val="nil"/>
              <w:right w:val="nil"/>
            </w:tcBorders>
            <w:tcMar>
              <w:top w:w="0" w:type="dxa"/>
              <w:left w:w="62" w:type="dxa"/>
              <w:bottom w:w="0" w:type="dxa"/>
              <w:right w:w="62" w:type="dxa"/>
            </w:tcMar>
          </w:tcPr>
          <w:p w:rsidR="00000000" w:rsidRPr="000B0C68" w:rsidP="000B0C68">
            <w:pPr>
              <w:pStyle w:val="BodyText"/>
            </w:pPr>
            <w:r w:rsidRPr="000B0C68">
              <w:t>Feedback and follow up is instigated and maintained with the client</w:t>
            </w:r>
          </w:p>
        </w:tc>
      </w:tr>
    </w:tbl>
    <w:p w:rsidR="00000000" w:rsidRPr="000B0C68" w:rsidP="000B0C68">
      <w:pPr>
        <w:pStyle w:val="BodyText"/>
      </w:pPr>
    </w:p>
    <w:p w:rsidR="00000000" w:rsidRPr="000B0C68" w:rsidP="000B0C68">
      <w:pPr>
        <w:pStyle w:val="AllowPageBreak"/>
      </w:pPr>
    </w:p>
    <w:p w:rsidR="00000000" w:rsidRPr="000B0C68" w:rsidP="000B0C68">
      <w:pPr>
        <w:pStyle w:val="Heading1"/>
      </w:pPr>
      <w:bookmarkStart w:id="7" w:name="O_629245"/>
      <w:bookmarkEnd w:id="7"/>
      <w:r w:rsidRPr="000B0C68">
        <w:t>Foundation Skills</w:t>
      </w:r>
    </w:p>
    <w:p w:rsidR="00000000" w:rsidRPr="000B0C68" w:rsidP="000B0C68">
      <w:pPr>
        <w:pStyle w:val="BodyText"/>
      </w:pPr>
      <w:r w:rsidRPr="000B0C68">
        <w:t>Foundation skills essential to performance are explicit in the performance criteria of this unit of competency. Detail on appropriate performance levels for each furnishing unit of competency in reading, writing, oral communicatio</w:t>
      </w:r>
      <w:r w:rsidRPr="000B0C68">
        <w:t>n and numeracy utilising the Australian Core Skills Framework (ACSF) are provided in the Furnishing Training Package Implementation Guide.</w:t>
      </w:r>
    </w:p>
    <w:p w:rsidR="00000000" w:rsidRPr="000B0C68" w:rsidP="000B0C68">
      <w:pPr>
        <w:pStyle w:val="AllowPageBreak"/>
      </w:pPr>
    </w:p>
    <w:p w:rsidR="00000000" w:rsidRPr="000B0C68" w:rsidP="000B0C68">
      <w:pPr>
        <w:pStyle w:val="Heading1"/>
      </w:pPr>
      <w:bookmarkStart w:id="8" w:name="O_629244"/>
      <w:bookmarkEnd w:id="8"/>
      <w:r w:rsidRPr="000B0C68">
        <w:t>Range of Conditions</w:t>
      </w:r>
    </w:p>
    <w:tbl>
      <w:tblPr>
        <w:tblW w:w="0" w:type="auto"/>
        <w:tblLayout w:type="fixed"/>
        <w:tblCellMar>
          <w:left w:w="62" w:type="dxa"/>
          <w:right w:w="62" w:type="dxa"/>
        </w:tblCellMar>
        <w:tblLook w:val="0000"/>
      </w:tblPr>
      <w:tblGrid>
        <w:gridCol w:w="2760"/>
        <w:gridCol w:w="6312"/>
      </w:tblGrid>
      <w:tr w:rsidTr="000B0C6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t>Specifies different work environments and conditions that may affect performance</w:t>
            </w:r>
            <w:r w:rsidRPr="000B0C68">
              <w:t xml:space="preserve">. Essential operating conditions that may be present (depending on the work situation, needs of the candidate, accessibility of the item, and local industry and regional contexts) are included. Range is restricted to essential operating conditions and any </w:t>
            </w:r>
            <w:r w:rsidRPr="000B0C68">
              <w:t>other variables essential to the work environment.</w:t>
            </w:r>
          </w:p>
        </w:tc>
      </w:tr>
      <w:tr w:rsidTr="000B0C6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0B0C68" w:rsidP="000B0C68">
            <w:pPr>
              <w:pStyle w:val="ListBullet"/>
            </w:pPr>
            <w:r w:rsidRPr="000B0C68">
              <w:t xml:space="preserve">WHS requirements, including legislation, building codes, material safety management </w:t>
            </w:r>
            <w:r w:rsidRPr="000B0C68">
              <w:t xml:space="preserve">systems, hazardous and dangerous goods codes, and local safe operating procedures or equivalent </w:t>
            </w:r>
          </w:p>
          <w:p w:rsidR="00000000" w:rsidRPr="000B0C68" w:rsidP="000B0C68">
            <w:pPr>
              <w:pStyle w:val="ListBullet"/>
            </w:pPr>
            <w:r w:rsidRPr="000B0C68">
              <w:t>work is carried out in accordance with legislative obligations, environmental legislation, relevant health regulations, manual handling procedures, Liveable an</w:t>
            </w:r>
            <w:r w:rsidRPr="000B0C68">
              <w:t xml:space="preserve">d Accessible Housing Design guidelines, and organisation insurance requirements </w:t>
            </w:r>
          </w:p>
          <w:p w:rsidR="00000000" w:rsidP="000B0C68">
            <w:pPr>
              <w:pStyle w:val="ListBullet"/>
              <w:rPr>
                <w:lang w:val="en-NZ"/>
              </w:rPr>
            </w:pPr>
            <w:r w:rsidRPr="000B0C68">
              <w:t>work requires individual to demonstrate discretion, judgement and problem solving, plus self-management and learning skills</w:t>
            </w:r>
          </w:p>
        </w:tc>
      </w:tr>
      <w:tr w:rsidTr="000B0C6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rPr>
                <w:rStyle w:val="SpecialBold"/>
              </w:rPr>
              <w:t>Project brief includes:</w:t>
            </w:r>
          </w:p>
        </w:tc>
        <w:tc>
          <w:tcPr>
            <w:tcW w:w="6312" w:type="dxa"/>
            <w:tcBorders>
              <w:top w:val="nil"/>
              <w:left w:val="nil"/>
              <w:bottom w:val="nil"/>
              <w:right w:val="nil"/>
            </w:tcBorders>
            <w:tcMar>
              <w:top w:w="0" w:type="dxa"/>
              <w:left w:w="62" w:type="dxa"/>
              <w:bottom w:w="0" w:type="dxa"/>
              <w:right w:w="62" w:type="dxa"/>
            </w:tcMar>
          </w:tcPr>
          <w:p w:rsidR="00000000" w:rsidRPr="000B0C68" w:rsidP="000B0C68">
            <w:pPr>
              <w:pStyle w:val="ListBullet"/>
            </w:pPr>
            <w:r w:rsidRPr="000B0C68">
              <w:t>client needs and objectiv</w:t>
            </w:r>
            <w:r w:rsidRPr="000B0C68">
              <w:t xml:space="preserve">es </w:t>
            </w:r>
          </w:p>
          <w:p w:rsidR="00000000" w:rsidRPr="000B0C68" w:rsidP="000B0C68">
            <w:pPr>
              <w:pStyle w:val="ListBullet"/>
            </w:pPr>
            <w:r w:rsidRPr="000B0C68">
              <w:t xml:space="preserve">client aims and objectives, and criteria for evaluation </w:t>
            </w:r>
          </w:p>
          <w:p w:rsidR="00000000" w:rsidRPr="000B0C68" w:rsidP="000B0C68">
            <w:pPr>
              <w:pStyle w:val="ListBullet"/>
            </w:pPr>
            <w:r w:rsidRPr="000B0C68">
              <w:t>milestones</w:t>
            </w:r>
          </w:p>
          <w:p w:rsidR="00000000" w:rsidRPr="000B0C68" w:rsidP="000B0C68">
            <w:pPr>
              <w:pStyle w:val="ListBullet"/>
            </w:pPr>
            <w:r w:rsidRPr="000B0C68">
              <w:t xml:space="preserve">organisational or personal profiles and aims </w:t>
            </w:r>
          </w:p>
          <w:p w:rsidR="00000000" w:rsidRPr="000B0C68" w:rsidP="000B0C68">
            <w:pPr>
              <w:pStyle w:val="ListBullet"/>
            </w:pPr>
            <w:r w:rsidRPr="000B0C68">
              <w:t xml:space="preserve">image requirements and function </w:t>
            </w:r>
          </w:p>
          <w:p w:rsidR="00000000" w:rsidRPr="000B0C68" w:rsidP="000B0C68">
            <w:pPr>
              <w:pStyle w:val="ListBullet"/>
            </w:pPr>
            <w:r w:rsidRPr="000B0C68">
              <w:t xml:space="preserve">target market </w:t>
            </w:r>
          </w:p>
          <w:p w:rsidR="00000000" w:rsidRPr="000B0C68" w:rsidP="000B0C68">
            <w:pPr>
              <w:pStyle w:val="ListBullet"/>
            </w:pPr>
            <w:r w:rsidRPr="000B0C68">
              <w:t>budget</w:t>
            </w:r>
          </w:p>
          <w:p w:rsidR="00000000" w:rsidRPr="000B0C68" w:rsidP="000B0C68">
            <w:pPr>
              <w:pStyle w:val="ListBullet"/>
            </w:pPr>
            <w:r w:rsidRPr="000B0C68">
              <w:t xml:space="preserve">timeline </w:t>
            </w:r>
          </w:p>
          <w:p w:rsidR="00000000" w:rsidRPr="000B0C68" w:rsidP="000B0C68">
            <w:pPr>
              <w:pStyle w:val="ListBullet"/>
            </w:pPr>
            <w:r w:rsidRPr="000B0C68">
              <w:t xml:space="preserve">consultation requirements </w:t>
            </w:r>
          </w:p>
          <w:p w:rsidR="00000000" w:rsidP="000B0C68">
            <w:pPr>
              <w:pStyle w:val="ListBullet"/>
              <w:rPr>
                <w:lang w:val="en-NZ"/>
              </w:rPr>
            </w:pPr>
            <w:r w:rsidRPr="000B0C68">
              <w:t>colour requirements</w:t>
            </w:r>
          </w:p>
        </w:tc>
      </w:tr>
      <w:tr w:rsidTr="000B0C6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0B0C68" w:rsidP="000B0C68">
            <w:pPr>
              <w:pStyle w:val="ListBullet"/>
            </w:pPr>
            <w:r w:rsidRPr="000B0C68">
              <w:t xml:space="preserve">suppliers </w:t>
            </w:r>
          </w:p>
          <w:p w:rsidR="00000000" w:rsidRPr="000B0C68" w:rsidP="000B0C68">
            <w:pPr>
              <w:pStyle w:val="ListBullet"/>
            </w:pPr>
            <w:r w:rsidRPr="000B0C68">
              <w:t xml:space="preserve">manufacturers </w:t>
            </w:r>
          </w:p>
          <w:p w:rsidR="00000000" w:rsidRPr="000B0C68" w:rsidP="000B0C68">
            <w:pPr>
              <w:pStyle w:val="ListBullet"/>
            </w:pPr>
            <w:r w:rsidRPr="000B0C68">
              <w:t xml:space="preserve">private clients </w:t>
            </w:r>
          </w:p>
          <w:p w:rsidR="00000000" w:rsidRPr="000B0C68" w:rsidP="000B0C68">
            <w:pPr>
              <w:pStyle w:val="ListBullet"/>
            </w:pPr>
            <w:r w:rsidRPr="000B0C68">
              <w:t>colleagues</w:t>
            </w:r>
          </w:p>
          <w:p w:rsidR="00000000" w:rsidRPr="000B0C68" w:rsidP="000B0C68">
            <w:pPr>
              <w:pStyle w:val="ListBullet"/>
            </w:pPr>
            <w:r w:rsidRPr="000B0C68">
              <w:t xml:space="preserve">retailers </w:t>
            </w:r>
          </w:p>
          <w:p w:rsidR="00000000" w:rsidP="000B0C68">
            <w:pPr>
              <w:pStyle w:val="ListBullet"/>
              <w:rPr>
                <w:lang w:val="en-NZ"/>
              </w:rPr>
            </w:pPr>
            <w:r w:rsidRPr="000B0C68">
              <w:t>the public</w:t>
            </w:r>
          </w:p>
        </w:tc>
      </w:tr>
      <w:tr w:rsidTr="000B0C6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rPr>
                <w:rStyle w:val="SpecialBold"/>
              </w:rPr>
              <w:t>Parameters include:</w:t>
            </w:r>
          </w:p>
        </w:tc>
        <w:tc>
          <w:tcPr>
            <w:tcW w:w="6312" w:type="dxa"/>
            <w:tcBorders>
              <w:top w:val="nil"/>
              <w:left w:val="nil"/>
              <w:bottom w:val="nil"/>
              <w:right w:val="nil"/>
            </w:tcBorders>
            <w:tcMar>
              <w:top w:w="0" w:type="dxa"/>
              <w:left w:w="62" w:type="dxa"/>
              <w:bottom w:w="0" w:type="dxa"/>
              <w:right w:w="62" w:type="dxa"/>
            </w:tcMar>
          </w:tcPr>
          <w:p w:rsidR="00000000" w:rsidRPr="000B0C68" w:rsidP="000B0C68">
            <w:pPr>
              <w:pStyle w:val="ListBullet"/>
            </w:pPr>
            <w:r w:rsidRPr="000B0C68">
              <w:t>scope of brief</w:t>
            </w:r>
          </w:p>
          <w:p w:rsidR="00000000" w:rsidRPr="000B0C68" w:rsidP="000B0C68">
            <w:pPr>
              <w:pStyle w:val="ListBullet"/>
            </w:pPr>
            <w:r w:rsidRPr="000B0C68">
              <w:t xml:space="preserve">approval to make changes </w:t>
            </w:r>
          </w:p>
          <w:p w:rsidR="00000000" w:rsidRPr="000B0C68" w:rsidP="000B0C68">
            <w:pPr>
              <w:pStyle w:val="ListBullet"/>
            </w:pPr>
            <w:r w:rsidRPr="000B0C68">
              <w:t xml:space="preserve">effect or feel trying to be achieved </w:t>
            </w:r>
          </w:p>
          <w:p w:rsidR="00000000" w:rsidRPr="000B0C68" w:rsidP="000B0C68">
            <w:pPr>
              <w:pStyle w:val="ListBullet"/>
            </w:pPr>
            <w:r w:rsidRPr="000B0C68">
              <w:t xml:space="preserve">functionality (short and long term) </w:t>
            </w:r>
          </w:p>
          <w:p w:rsidR="00000000" w:rsidRPr="000B0C68" w:rsidP="000B0C68">
            <w:pPr>
              <w:pStyle w:val="ListBullet"/>
            </w:pPr>
            <w:r w:rsidRPr="000B0C68">
              <w:t xml:space="preserve">budget restrictions </w:t>
            </w:r>
          </w:p>
          <w:p w:rsidR="00000000" w:rsidP="000B0C68">
            <w:pPr>
              <w:pStyle w:val="ListBullet"/>
              <w:rPr>
                <w:lang w:val="en-NZ"/>
              </w:rPr>
            </w:pPr>
            <w:r w:rsidRPr="000B0C68">
              <w:t>established timelines</w:t>
            </w:r>
          </w:p>
        </w:tc>
      </w:tr>
      <w:tr w:rsidTr="000B0C6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rPr>
                <w:rStyle w:val="SpecialBold"/>
              </w:rPr>
              <w:t>Resources include:</w:t>
            </w:r>
          </w:p>
        </w:tc>
        <w:tc>
          <w:tcPr>
            <w:tcW w:w="6312" w:type="dxa"/>
            <w:tcBorders>
              <w:top w:val="nil"/>
              <w:left w:val="nil"/>
              <w:bottom w:val="nil"/>
              <w:right w:val="nil"/>
            </w:tcBorders>
            <w:tcMar>
              <w:top w:w="0" w:type="dxa"/>
              <w:left w:w="62" w:type="dxa"/>
              <w:bottom w:w="0" w:type="dxa"/>
              <w:right w:w="62" w:type="dxa"/>
            </w:tcMar>
          </w:tcPr>
          <w:p w:rsidR="00000000" w:rsidRPr="000B0C68" w:rsidP="000B0C68">
            <w:pPr>
              <w:pStyle w:val="ListBullet"/>
            </w:pPr>
            <w:r w:rsidRPr="000B0C68">
              <w:t xml:space="preserve">computers </w:t>
            </w:r>
          </w:p>
          <w:p w:rsidR="00000000" w:rsidRPr="000B0C68" w:rsidP="000B0C68">
            <w:pPr>
              <w:pStyle w:val="ListBullet"/>
            </w:pPr>
            <w:r w:rsidRPr="000B0C68">
              <w:t>computer software</w:t>
            </w:r>
          </w:p>
          <w:p w:rsidR="00000000" w:rsidRPr="000B0C68" w:rsidP="000B0C68">
            <w:pPr>
              <w:pStyle w:val="ListBullet"/>
            </w:pPr>
            <w:r w:rsidRPr="000B0C68">
              <w:t xml:space="preserve">design software </w:t>
            </w:r>
          </w:p>
          <w:p w:rsidR="00000000" w:rsidRPr="000B0C68" w:rsidP="000B0C68">
            <w:pPr>
              <w:pStyle w:val="ListBullet"/>
            </w:pPr>
            <w:r w:rsidRPr="000B0C68">
              <w:t xml:space="preserve">computer-aided design (CAD) software </w:t>
            </w:r>
          </w:p>
          <w:p w:rsidR="00000000" w:rsidRPr="000B0C68" w:rsidP="000B0C68">
            <w:pPr>
              <w:pStyle w:val="ListBullet"/>
            </w:pPr>
            <w:r w:rsidRPr="000B0C68">
              <w:t xml:space="preserve">colour boards </w:t>
            </w:r>
          </w:p>
          <w:p w:rsidR="00000000" w:rsidRPr="000B0C68" w:rsidP="000B0C68">
            <w:pPr>
              <w:pStyle w:val="ListBullet"/>
            </w:pPr>
            <w:r w:rsidRPr="000B0C68">
              <w:t xml:space="preserve">storyboards </w:t>
            </w:r>
          </w:p>
          <w:p w:rsidR="00000000" w:rsidRPr="000B0C68" w:rsidP="000B0C68">
            <w:pPr>
              <w:pStyle w:val="ListBullet"/>
            </w:pPr>
            <w:r w:rsidRPr="000B0C68">
              <w:t xml:space="preserve">swatches </w:t>
            </w:r>
          </w:p>
          <w:p w:rsidR="00000000" w:rsidRPr="000B0C68" w:rsidP="000B0C68">
            <w:pPr>
              <w:pStyle w:val="ListBullet"/>
            </w:pPr>
            <w:r w:rsidRPr="000B0C68">
              <w:t xml:space="preserve">product based colour systems, such as Munsell or similar </w:t>
            </w:r>
          </w:p>
          <w:p w:rsidR="00000000" w:rsidRPr="000B0C68" w:rsidP="000B0C68">
            <w:pPr>
              <w:pStyle w:val="ListBullet"/>
            </w:pPr>
            <w:r w:rsidRPr="000B0C68">
              <w:t xml:space="preserve">colour matching system, such as Pantone Matching System (PMS) </w:t>
            </w:r>
          </w:p>
          <w:p w:rsidR="00000000" w:rsidRPr="000B0C68" w:rsidP="000B0C68">
            <w:pPr>
              <w:pStyle w:val="ListBullet"/>
            </w:pPr>
            <w:r w:rsidRPr="000B0C68">
              <w:t xml:space="preserve">journals (directions magazines) </w:t>
            </w:r>
          </w:p>
          <w:p w:rsidR="00000000" w:rsidRPr="000B0C68" w:rsidP="000B0C68">
            <w:pPr>
              <w:pStyle w:val="ListBullet"/>
            </w:pPr>
            <w:r w:rsidRPr="000B0C68">
              <w:t xml:space="preserve">artistic equipment and products </w:t>
            </w:r>
          </w:p>
          <w:p w:rsidR="00000000" w:rsidP="000B0C68">
            <w:pPr>
              <w:pStyle w:val="ListBullet"/>
              <w:rPr>
                <w:lang w:val="en-NZ"/>
              </w:rPr>
            </w:pPr>
            <w:r w:rsidRPr="000B0C68">
              <w:t>model making equipment</w:t>
            </w:r>
          </w:p>
        </w:tc>
      </w:tr>
      <w:tr w:rsidTr="000B0C6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rPr>
                <w:rStyle w:val="SpecialBold"/>
              </w:rPr>
              <w:t>Research includes:</w:t>
            </w:r>
          </w:p>
        </w:tc>
        <w:tc>
          <w:tcPr>
            <w:tcW w:w="6312" w:type="dxa"/>
            <w:tcBorders>
              <w:top w:val="nil"/>
              <w:left w:val="nil"/>
              <w:bottom w:val="nil"/>
              <w:right w:val="nil"/>
            </w:tcBorders>
            <w:tcMar>
              <w:top w:w="0" w:type="dxa"/>
              <w:left w:w="62" w:type="dxa"/>
              <w:bottom w:w="0" w:type="dxa"/>
              <w:right w:w="62" w:type="dxa"/>
            </w:tcMar>
          </w:tcPr>
          <w:p w:rsidR="00000000" w:rsidRPr="000B0C68" w:rsidP="000B0C68">
            <w:pPr>
              <w:pStyle w:val="ListBullet"/>
            </w:pPr>
            <w:r w:rsidRPr="000B0C68">
              <w:t>internet</w:t>
            </w:r>
          </w:p>
          <w:p w:rsidR="00000000" w:rsidRPr="000B0C68" w:rsidP="000B0C68">
            <w:pPr>
              <w:pStyle w:val="ListBullet"/>
            </w:pPr>
            <w:r w:rsidRPr="000B0C68">
              <w:t>magazines</w:t>
            </w:r>
          </w:p>
          <w:p w:rsidR="00000000" w:rsidRPr="000B0C68" w:rsidP="000B0C68">
            <w:pPr>
              <w:pStyle w:val="ListBullet"/>
            </w:pPr>
            <w:r w:rsidRPr="000B0C68">
              <w:t xml:space="preserve">catalogues </w:t>
            </w:r>
          </w:p>
          <w:p w:rsidR="00000000" w:rsidRPr="000B0C68" w:rsidP="000B0C68">
            <w:pPr>
              <w:pStyle w:val="ListBullet"/>
            </w:pPr>
            <w:r w:rsidRPr="000B0C68">
              <w:t>retail or wholesale outlets</w:t>
            </w:r>
          </w:p>
          <w:p w:rsidR="00000000" w:rsidRPr="000B0C68" w:rsidP="000B0C68">
            <w:pPr>
              <w:pStyle w:val="ListBullet"/>
            </w:pPr>
            <w:r w:rsidRPr="000B0C68">
              <w:t>books</w:t>
            </w:r>
          </w:p>
          <w:p w:rsidR="00000000" w:rsidP="000B0C68">
            <w:pPr>
              <w:pStyle w:val="ListBullet"/>
              <w:rPr>
                <w:lang w:val="en-NZ"/>
              </w:rPr>
            </w:pPr>
            <w:r w:rsidRPr="000B0C68">
              <w:t>site visits</w:t>
            </w:r>
          </w:p>
        </w:tc>
      </w:tr>
      <w:tr w:rsidTr="000B0C6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rPr>
                <w:rStyle w:val="SpecialBold"/>
              </w:rPr>
              <w:t>Pattern repeats include:</w:t>
            </w:r>
          </w:p>
        </w:tc>
        <w:tc>
          <w:tcPr>
            <w:tcW w:w="6312" w:type="dxa"/>
            <w:tcBorders>
              <w:top w:val="nil"/>
              <w:left w:val="nil"/>
              <w:bottom w:val="nil"/>
              <w:right w:val="nil"/>
            </w:tcBorders>
            <w:tcMar>
              <w:top w:w="0" w:type="dxa"/>
              <w:left w:w="62" w:type="dxa"/>
              <w:bottom w:w="0" w:type="dxa"/>
              <w:right w:w="62" w:type="dxa"/>
            </w:tcMar>
          </w:tcPr>
          <w:p w:rsidR="00000000" w:rsidP="000B0C68">
            <w:pPr>
              <w:pStyle w:val="ListBullet"/>
              <w:rPr>
                <w:lang w:val="en-NZ"/>
              </w:rPr>
            </w:pPr>
            <w:r w:rsidRPr="000B0C68">
              <w:t>textiles or fabrics with a distinctive print and how often that pattern repeats within the applicable square metreage required for a project so as to meet conformity</w:t>
            </w:r>
          </w:p>
        </w:tc>
      </w:tr>
      <w:tr w:rsidTr="000B0C6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rPr>
                <w:rStyle w:val="SpecialBold"/>
              </w:rPr>
              <w:t>Environmental impacts include:</w:t>
            </w:r>
          </w:p>
        </w:tc>
        <w:tc>
          <w:tcPr>
            <w:tcW w:w="6312" w:type="dxa"/>
            <w:tcBorders>
              <w:top w:val="nil"/>
              <w:left w:val="nil"/>
              <w:bottom w:val="nil"/>
              <w:right w:val="nil"/>
            </w:tcBorders>
            <w:tcMar>
              <w:top w:w="0" w:type="dxa"/>
              <w:left w:w="62" w:type="dxa"/>
              <w:bottom w:w="0" w:type="dxa"/>
              <w:right w:w="62" w:type="dxa"/>
            </w:tcMar>
          </w:tcPr>
          <w:p w:rsidR="00000000" w:rsidRPr="000B0C68" w:rsidP="000B0C68">
            <w:pPr>
              <w:pStyle w:val="ListBullet"/>
            </w:pPr>
            <w:r w:rsidRPr="000B0C68">
              <w:t>how the sourcing and use of mat</w:t>
            </w:r>
            <w:r w:rsidRPr="000B0C68">
              <w:t>erials effects the environment and how its continued use will affect the area the material was sourced from</w:t>
            </w:r>
          </w:p>
          <w:p w:rsidR="00000000" w:rsidRPr="000B0C68" w:rsidP="000B0C68">
            <w:pPr>
              <w:pStyle w:val="ListBullet"/>
            </w:pPr>
            <w:r w:rsidRPr="000B0C68">
              <w:t>energy consumption in processing the material</w:t>
            </w:r>
          </w:p>
          <w:p w:rsidR="00000000" w:rsidRPr="000B0C68" w:rsidP="000B0C68">
            <w:pPr>
              <w:pStyle w:val="ListBullet"/>
            </w:pPr>
            <w:r w:rsidRPr="000B0C68">
              <w:t>greenhouse gases created</w:t>
            </w:r>
          </w:p>
          <w:p w:rsidR="00000000" w:rsidRPr="000B0C68" w:rsidP="000B0C68">
            <w:pPr>
              <w:pStyle w:val="ListBullet"/>
            </w:pPr>
            <w:r w:rsidRPr="000B0C68">
              <w:t>waste levels and resource utilisation</w:t>
            </w:r>
          </w:p>
          <w:p w:rsidR="00000000" w:rsidRPr="000B0C68" w:rsidP="000B0C68">
            <w:pPr>
              <w:pStyle w:val="ListBullet"/>
            </w:pPr>
            <w:r w:rsidRPr="000B0C68">
              <w:t>what impact will be felt by reducing or</w:t>
            </w:r>
            <w:r w:rsidRPr="000B0C68">
              <w:t xml:space="preserve"> stopping use of the material</w:t>
            </w:r>
          </w:p>
          <w:p w:rsidR="00000000" w:rsidRPr="000B0C68" w:rsidP="000B0C68">
            <w:pPr>
              <w:pStyle w:val="ListBullet"/>
            </w:pPr>
            <w:r w:rsidRPr="000B0C68">
              <w:t>when applied to window fittings, environmental impact may include:</w:t>
            </w:r>
          </w:p>
          <w:p w:rsidR="00000000" w:rsidP="000B0C68">
            <w:pPr>
              <w:pStyle w:val="ListBullet2"/>
              <w:rPr>
                <w:lang w:val="en-NZ"/>
              </w:rPr>
            </w:pPr>
            <w:r w:rsidRPr="000B0C68">
              <w:t>the amount of natural light made available from decorative solution in order to reduce requirements for powered light sources</w:t>
            </w:r>
          </w:p>
        </w:tc>
      </w:tr>
      <w:tr w:rsidTr="000B0C6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rPr>
                <w:rStyle w:val="SpecialBold"/>
              </w:rPr>
              <w:t>Soft furnishings include:</w:t>
            </w:r>
          </w:p>
        </w:tc>
        <w:tc>
          <w:tcPr>
            <w:tcW w:w="6312" w:type="dxa"/>
            <w:tcBorders>
              <w:top w:val="nil"/>
              <w:left w:val="nil"/>
              <w:bottom w:val="nil"/>
              <w:right w:val="nil"/>
            </w:tcBorders>
            <w:tcMar>
              <w:top w:w="0" w:type="dxa"/>
              <w:left w:w="62" w:type="dxa"/>
              <w:bottom w:w="0" w:type="dxa"/>
              <w:right w:w="62" w:type="dxa"/>
            </w:tcMar>
          </w:tcPr>
          <w:p w:rsidR="00000000" w:rsidRPr="000B0C68" w:rsidP="000B0C68">
            <w:pPr>
              <w:pStyle w:val="ListBullet"/>
            </w:pPr>
            <w:r w:rsidRPr="000B0C68">
              <w:t>window treatments and curtains</w:t>
            </w:r>
          </w:p>
          <w:p w:rsidR="00000000" w:rsidRPr="000B0C68" w:rsidP="000B0C68">
            <w:pPr>
              <w:pStyle w:val="ListBullet"/>
            </w:pPr>
            <w:r w:rsidRPr="000B0C68">
              <w:t>blinds</w:t>
            </w:r>
          </w:p>
          <w:p w:rsidR="00000000" w:rsidRPr="000B0C68" w:rsidP="000B0C68">
            <w:pPr>
              <w:pStyle w:val="ListBullet"/>
            </w:pPr>
            <w:r w:rsidRPr="000B0C68">
              <w:t>awnings</w:t>
            </w:r>
          </w:p>
          <w:p w:rsidR="00000000" w:rsidRPr="000B0C68" w:rsidP="000B0C68">
            <w:pPr>
              <w:pStyle w:val="ListBullet"/>
            </w:pPr>
            <w:r w:rsidRPr="000B0C68">
              <w:t>trimmings</w:t>
            </w:r>
          </w:p>
          <w:p w:rsidR="00000000" w:rsidRPr="000B0C68" w:rsidP="000B0C68">
            <w:pPr>
              <w:pStyle w:val="ListBullet"/>
            </w:pPr>
            <w:r w:rsidRPr="000B0C68">
              <w:t>bedding treatments</w:t>
            </w:r>
          </w:p>
          <w:p w:rsidR="00000000" w:rsidRPr="000B0C68" w:rsidP="000B0C68">
            <w:pPr>
              <w:pStyle w:val="ListBullet"/>
            </w:pPr>
            <w:r w:rsidRPr="000B0C68">
              <w:t>lampshades</w:t>
            </w:r>
          </w:p>
          <w:p w:rsidR="00000000" w:rsidRPr="000B0C68" w:rsidP="000B0C68">
            <w:pPr>
              <w:pStyle w:val="ListBullet"/>
            </w:pPr>
            <w:r w:rsidRPr="000B0C68">
              <w:t>carpets</w:t>
            </w:r>
          </w:p>
          <w:p w:rsidR="00000000" w:rsidRPr="000B0C68" w:rsidP="000B0C68">
            <w:pPr>
              <w:pStyle w:val="ListBullet"/>
            </w:pPr>
            <w:r w:rsidRPr="000B0C68">
              <w:t>rugs</w:t>
            </w:r>
          </w:p>
          <w:p w:rsidR="00000000" w:rsidRPr="000B0C68" w:rsidP="000B0C68">
            <w:pPr>
              <w:pStyle w:val="ListBullet"/>
            </w:pPr>
            <w:r w:rsidRPr="000B0C68">
              <w:t>cushions</w:t>
            </w:r>
          </w:p>
          <w:p w:rsidR="00000000" w:rsidRPr="000B0C68" w:rsidP="000B0C68">
            <w:pPr>
              <w:pStyle w:val="ListBullet"/>
            </w:pPr>
            <w:r w:rsidRPr="000B0C68">
              <w:t xml:space="preserve">upholstery </w:t>
            </w:r>
          </w:p>
          <w:p w:rsidR="00000000" w:rsidP="000B0C68">
            <w:pPr>
              <w:pStyle w:val="ListBullet"/>
              <w:rPr>
                <w:lang w:val="en-NZ"/>
              </w:rPr>
            </w:pPr>
            <w:r w:rsidRPr="000B0C68">
              <w:t>accessories</w:t>
            </w:r>
          </w:p>
        </w:tc>
      </w:tr>
      <w:tr w:rsidTr="000B0C6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B0C68">
            <w:pPr>
              <w:pStyle w:val="BodyText"/>
              <w:rPr>
                <w:lang w:val="en-NZ"/>
              </w:rPr>
            </w:pPr>
            <w:r w:rsidRPr="000B0C68">
              <w:rPr>
                <w:rStyle w:val="SpecialBold"/>
              </w:rPr>
              <w:t xml:space="preserve">Information and procedures </w:t>
            </w:r>
            <w:r w:rsidRPr="000B0C68">
              <w:rPr>
                <w:rStyle w:val="SpecialBold"/>
              </w:rPr>
              <w:t>include:</w:t>
            </w:r>
          </w:p>
        </w:tc>
        <w:tc>
          <w:tcPr>
            <w:tcW w:w="6312" w:type="dxa"/>
            <w:tcBorders>
              <w:top w:val="nil"/>
              <w:left w:val="nil"/>
              <w:bottom w:val="nil"/>
              <w:right w:val="nil"/>
            </w:tcBorders>
            <w:tcMar>
              <w:top w:w="0" w:type="dxa"/>
              <w:left w:w="62" w:type="dxa"/>
              <w:bottom w:w="0" w:type="dxa"/>
              <w:right w:w="62" w:type="dxa"/>
            </w:tcMar>
          </w:tcPr>
          <w:p w:rsidR="00000000" w:rsidRPr="000B0C68" w:rsidP="000B0C68">
            <w:pPr>
              <w:pStyle w:val="ListBullet"/>
            </w:pPr>
            <w:r w:rsidRPr="000B0C68">
              <w:t xml:space="preserve">work instructions, including plans, drawings and designs </w:t>
            </w:r>
          </w:p>
          <w:p w:rsidR="00000000" w:rsidRPr="000B0C68" w:rsidP="000B0C68">
            <w:pPr>
              <w:pStyle w:val="ListBullet"/>
            </w:pPr>
            <w:r w:rsidRPr="000B0C68">
              <w:t xml:space="preserve">workplace procedures relating to reporting and communication </w:t>
            </w:r>
          </w:p>
          <w:p w:rsidR="00000000" w:rsidRPr="000B0C68" w:rsidP="000B0C68">
            <w:pPr>
              <w:pStyle w:val="ListBullet"/>
            </w:pPr>
            <w:r w:rsidRPr="000B0C68">
              <w:t>manufacturer specifications and operational procedures</w:t>
            </w:r>
          </w:p>
        </w:tc>
      </w:tr>
    </w:tbl>
    <w:p w:rsidR="00000000" w:rsidRPr="000B0C68" w:rsidP="000B0C68">
      <w:pPr>
        <w:pStyle w:val="BodyText"/>
      </w:pPr>
    </w:p>
    <w:p w:rsidR="00000000" w:rsidRPr="000B0C68" w:rsidP="000B0C68">
      <w:pPr>
        <w:pStyle w:val="AllowPageBreak"/>
      </w:pPr>
    </w:p>
    <w:p w:rsidR="00000000" w:rsidRPr="000B0C68" w:rsidP="000B0C68">
      <w:pPr>
        <w:pStyle w:val="Heading1"/>
      </w:pPr>
      <w:bookmarkStart w:id="9" w:name="O_629243"/>
      <w:bookmarkEnd w:id="9"/>
      <w:r w:rsidRPr="000B0C68">
        <w:t>Unit Mapping Information</w:t>
      </w:r>
    </w:p>
    <w:p w:rsidR="00000000" w:rsidRPr="000B0C68" w:rsidP="000B0C68">
      <w:pPr>
        <w:pStyle w:val="BodyText"/>
      </w:pPr>
      <w:r w:rsidRPr="000B0C68">
        <w:t>Supersedes and is equivalent to LMFID5011A Specify soft furnishings for complete interior solution.</w:t>
      </w:r>
    </w:p>
    <w:p w:rsidR="00000000" w:rsidRPr="000B0C68" w:rsidP="000B0C68">
      <w:pPr>
        <w:pStyle w:val="AllowPageBreak"/>
      </w:pPr>
    </w:p>
    <w:p w:rsidR="00000000" w:rsidRPr="000B0C68" w:rsidP="000B0C68">
      <w:pPr>
        <w:pStyle w:val="Heading1"/>
      </w:pPr>
      <w:bookmarkStart w:id="10" w:name="O_629236"/>
      <w:bookmarkEnd w:id="10"/>
      <w:r w:rsidRPr="000B0C68">
        <w:t>Links</w:t>
      </w:r>
    </w:p>
    <w:p w:rsidR="00000000" w:rsidRPr="000B0C68" w:rsidP="000B0C68">
      <w:pPr>
        <w:pStyle w:val="BodyText"/>
      </w:pPr>
      <w:r w:rsidRPr="000B0C68">
        <w:t>Companion Volume implementation guides are found in VETNet - https://vetnet.education.gov.au/Pages/TrainingDocs.aspx?q=0601ab95-583a-</w:t>
      </w:r>
      <w:r w:rsidRPr="000B0C68">
        <w:t>4e93-b2d4-cfb27b03ed73</w:t>
      </w:r>
    </w:p>
    <w:p w:rsidR="00000000" w:rsidRPr="000B0C68" w:rsidP="000B0C68"/>
    <w:sectPr w:rsidSect="000B0C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C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C68" w:rsidRPr="008B6C25" w:rsidP="008B6C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C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C25" w:rsidP="000B0C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B6C25" w:rsidP="000B0C6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B6C25" w:rsidP="000B0C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C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C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0C68" w:rsidRPr="008B6C25" w:rsidP="008B6C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C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C25" w:rsidRPr="002D2AF8" w:rsidP="000B0C68">
    <w:pPr>
      <w:pStyle w:val="Header"/>
      <w:framePr w:wrap="around"/>
    </w:pPr>
    <w:r>
      <w:fldChar w:fldCharType="begin"/>
    </w:r>
    <w:r>
      <w:instrText xml:space="preserve"> TITLE   \* MERGEFORMAT </w:instrText>
    </w:r>
    <w:r>
      <w:fldChar w:fldCharType="separate"/>
    </w:r>
    <w:r>
      <w:t>MSFID5011 Specify soft furnishings for complete interior solution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8B6C25" w:rsidP="000B0C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4459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F09A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AAF8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0C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0C68"/>
    <w:pPr>
      <w:spacing w:before="360" w:after="60"/>
      <w:outlineLvl w:val="0"/>
    </w:pPr>
    <w:rPr>
      <w:sz w:val="32"/>
    </w:rPr>
  </w:style>
  <w:style w:type="paragraph" w:styleId="Heading2">
    <w:name w:val="heading 2"/>
    <w:basedOn w:val="HeadingBase"/>
    <w:next w:val="BodyText"/>
    <w:link w:val="Heading2Char"/>
    <w:qFormat/>
    <w:rsid w:val="000B0C68"/>
    <w:pPr>
      <w:keepLines/>
      <w:spacing w:before="240" w:after="120"/>
      <w:outlineLvl w:val="1"/>
    </w:pPr>
    <w:rPr>
      <w:sz w:val="28"/>
      <w:szCs w:val="40"/>
    </w:rPr>
  </w:style>
  <w:style w:type="paragraph" w:styleId="Heading3">
    <w:name w:val="heading 3"/>
    <w:basedOn w:val="HeadingBase"/>
    <w:next w:val="BodyText"/>
    <w:link w:val="Heading3Char"/>
    <w:qFormat/>
    <w:rsid w:val="000B0C68"/>
    <w:pPr>
      <w:spacing w:before="180" w:after="120"/>
      <w:outlineLvl w:val="2"/>
    </w:pPr>
    <w:rPr>
      <w:spacing w:val="-10"/>
      <w:kern w:val="32"/>
    </w:rPr>
  </w:style>
  <w:style w:type="paragraph" w:styleId="Heading4">
    <w:name w:val="heading 4"/>
    <w:basedOn w:val="HeadingBase"/>
    <w:next w:val="BodyText"/>
    <w:link w:val="Heading4Char"/>
    <w:qFormat/>
    <w:rsid w:val="000B0C68"/>
    <w:pPr>
      <w:spacing w:before="160" w:after="120"/>
      <w:outlineLvl w:val="3"/>
    </w:pPr>
    <w:rPr>
      <w:sz w:val="22"/>
    </w:rPr>
  </w:style>
  <w:style w:type="paragraph" w:styleId="Heading5">
    <w:name w:val="heading 5"/>
    <w:basedOn w:val="HeadingBase"/>
    <w:next w:val="Normal"/>
    <w:link w:val="Heading5Char"/>
    <w:qFormat/>
    <w:rsid w:val="000B0C68"/>
    <w:pPr>
      <w:spacing w:before="80"/>
      <w:outlineLvl w:val="4"/>
    </w:pPr>
    <w:rPr>
      <w:color w:val="918585"/>
      <w:sz w:val="20"/>
    </w:rPr>
  </w:style>
  <w:style w:type="paragraph" w:styleId="Heading6">
    <w:name w:val="heading 6"/>
    <w:basedOn w:val="HeadingBase"/>
    <w:next w:val="Normal"/>
    <w:link w:val="Heading6Char"/>
    <w:qFormat/>
    <w:rsid w:val="000B0C68"/>
    <w:pPr>
      <w:spacing w:before="60"/>
      <w:outlineLvl w:val="5"/>
    </w:pPr>
    <w:rPr>
      <w:color w:val="918585"/>
      <w:sz w:val="20"/>
    </w:rPr>
  </w:style>
  <w:style w:type="paragraph" w:styleId="Heading7">
    <w:name w:val="heading 7"/>
    <w:basedOn w:val="Normal"/>
    <w:next w:val="Normal"/>
    <w:link w:val="Heading7Char"/>
    <w:qFormat/>
    <w:rsid w:val="000B0C68"/>
    <w:pPr>
      <w:ind w:left="720"/>
      <w:outlineLvl w:val="6"/>
    </w:pPr>
    <w:rPr>
      <w:i/>
    </w:rPr>
  </w:style>
  <w:style w:type="paragraph" w:styleId="Heading8">
    <w:name w:val="heading 8"/>
    <w:basedOn w:val="Normal"/>
    <w:next w:val="Normal"/>
    <w:link w:val="Heading8Char"/>
    <w:qFormat/>
    <w:rsid w:val="000B0C68"/>
    <w:pPr>
      <w:ind w:left="720"/>
      <w:outlineLvl w:val="7"/>
    </w:pPr>
    <w:rPr>
      <w:i/>
    </w:rPr>
  </w:style>
  <w:style w:type="paragraph" w:styleId="Heading9">
    <w:name w:val="heading 9"/>
    <w:basedOn w:val="Normal"/>
    <w:next w:val="Normal"/>
    <w:link w:val="Heading9Char"/>
    <w:qFormat/>
    <w:rsid w:val="000B0C68"/>
    <w:pPr>
      <w:ind w:left="720"/>
      <w:outlineLvl w:val="8"/>
    </w:pPr>
    <w:rPr>
      <w:i/>
    </w:rPr>
  </w:style>
  <w:style w:type="character" w:default="1" w:styleId="DefaultParagraphFont">
    <w:name w:val="Default Paragraph Font"/>
    <w:uiPriority w:val="1"/>
    <w:unhideWhenUsed/>
    <w:rsid w:val="000B0C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0C68"/>
  </w:style>
  <w:style w:type="character" w:customStyle="1" w:styleId="Heading1Char">
    <w:name w:val="Heading 1 Char"/>
    <w:basedOn w:val="DefaultParagraphFont"/>
    <w:link w:val="Heading1"/>
    <w:rsid w:val="000B0C68"/>
    <w:rPr>
      <w:rFonts w:ascii="Times New Roman" w:eastAsia="Times New Roman" w:hAnsi="Times New Roman" w:cs="Times New Roman"/>
      <w:b/>
      <w:sz w:val="32"/>
      <w:szCs w:val="20"/>
      <w:lang w:eastAsia="en-US"/>
    </w:rPr>
  </w:style>
  <w:style w:type="paragraph" w:styleId="BodyText">
    <w:name w:val="Body Text"/>
    <w:basedOn w:val="Normal"/>
    <w:link w:val="BodyTextChar"/>
    <w:rsid w:val="000B0C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0C68"/>
    <w:rPr>
      <w:rFonts w:ascii="Times New Roman" w:eastAsia="Times New Roman" w:hAnsi="Times New Roman" w:cs="Times New Roman"/>
      <w:sz w:val="24"/>
      <w:lang w:eastAsia="en-US"/>
    </w:rPr>
  </w:style>
  <w:style w:type="paragraph" w:styleId="ListBullet">
    <w:name w:val="List Bullet"/>
    <w:basedOn w:val="List"/>
    <w:rsid w:val="000B0C68"/>
    <w:pPr>
      <w:numPr>
        <w:numId w:val="13"/>
      </w:numPr>
      <w:tabs>
        <w:tab w:val="clear" w:pos="340"/>
      </w:tabs>
      <w:spacing w:before="40" w:after="40"/>
    </w:pPr>
  </w:style>
  <w:style w:type="character" w:customStyle="1" w:styleId="SpecialBold">
    <w:name w:val="Special Bold"/>
    <w:basedOn w:val="DefaultParagraphFont"/>
    <w:rsid w:val="000B0C68"/>
    <w:rPr>
      <w:b/>
      <w:spacing w:val="0"/>
    </w:rPr>
  </w:style>
  <w:style w:type="paragraph" w:styleId="ListBullet2">
    <w:name w:val="List Bullet 2"/>
    <w:basedOn w:val="List2"/>
    <w:rsid w:val="000B0C68"/>
    <w:pPr>
      <w:numPr>
        <w:numId w:val="14"/>
      </w:numPr>
      <w:tabs>
        <w:tab w:val="clear" w:pos="680"/>
      </w:tabs>
    </w:pPr>
  </w:style>
  <w:style w:type="paragraph" w:customStyle="1" w:styleId="SuperHeading">
    <w:name w:val="SuperHeading"/>
    <w:basedOn w:val="Normal"/>
    <w:rsid w:val="000B0C68"/>
    <w:pPr>
      <w:spacing w:before="240" w:after="120"/>
      <w:outlineLvl w:val="0"/>
    </w:pPr>
    <w:rPr>
      <w:rFonts w:ascii="Times New Roman" w:hAnsi="Times New Roman"/>
      <w:b/>
      <w:sz w:val="32"/>
    </w:rPr>
  </w:style>
  <w:style w:type="paragraph" w:customStyle="1" w:styleId="AllowPageBreak">
    <w:name w:val="AllowPageBreak"/>
    <w:rsid w:val="000B0C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0C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0C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0C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0C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0C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0C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0C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0C68"/>
    <w:rPr>
      <w:rFonts w:ascii="Courier New" w:eastAsia="Times New Roman" w:hAnsi="Courier New" w:cs="Times New Roman"/>
      <w:i/>
      <w:szCs w:val="20"/>
      <w:lang w:eastAsia="en-US"/>
    </w:rPr>
  </w:style>
  <w:style w:type="paragraph" w:customStyle="1" w:styleId="HeadingBase">
    <w:name w:val="Heading Base"/>
    <w:rsid w:val="000B0C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0C68"/>
    <w:pPr>
      <w:tabs>
        <w:tab w:val="right" w:leader="dot" w:pos="9072"/>
      </w:tabs>
      <w:ind w:left="567"/>
    </w:pPr>
    <w:rPr>
      <w:szCs w:val="22"/>
    </w:rPr>
  </w:style>
  <w:style w:type="paragraph" w:customStyle="1" w:styleId="TOCBase">
    <w:name w:val="TOC Base"/>
    <w:rsid w:val="000B0C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0C68"/>
    <w:pPr>
      <w:tabs>
        <w:tab w:val="right" w:leader="dot" w:pos="9072"/>
      </w:tabs>
      <w:spacing w:before="40" w:after="40"/>
      <w:ind w:left="284"/>
    </w:pPr>
    <w:rPr>
      <w:rFonts w:ascii="Times New Roman" w:hAnsi="Times New Roman"/>
    </w:rPr>
  </w:style>
  <w:style w:type="paragraph" w:styleId="TOC1">
    <w:name w:val="toc 1"/>
    <w:basedOn w:val="TOCBase"/>
    <w:next w:val="Normal"/>
    <w:rsid w:val="000B0C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0C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0C68"/>
    <w:rPr>
      <w:rFonts w:ascii="Times New Roman" w:eastAsia="Times New Roman" w:hAnsi="Times New Roman" w:cs="Times New Roman"/>
      <w:sz w:val="16"/>
      <w:lang w:eastAsia="en-US"/>
    </w:rPr>
  </w:style>
  <w:style w:type="paragraph" w:styleId="Title">
    <w:name w:val="Title"/>
    <w:basedOn w:val="HeadingBase"/>
    <w:link w:val="TitleChar"/>
    <w:qFormat/>
    <w:rsid w:val="000B0C68"/>
    <w:pPr>
      <w:spacing w:before="5040"/>
      <w:jc w:val="center"/>
    </w:pPr>
    <w:rPr>
      <w:sz w:val="48"/>
      <w:szCs w:val="72"/>
      <w:lang w:val="en-US"/>
    </w:rPr>
  </w:style>
  <w:style w:type="character" w:customStyle="1" w:styleId="TitleChar">
    <w:name w:val="Title Char"/>
    <w:basedOn w:val="DefaultParagraphFont"/>
    <w:link w:val="Title"/>
    <w:rsid w:val="000B0C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0C68"/>
    <w:pPr>
      <w:tabs>
        <w:tab w:val="left" w:pos="3600"/>
        <w:tab w:val="left" w:pos="3958"/>
      </w:tabs>
    </w:pPr>
  </w:style>
  <w:style w:type="paragraph" w:styleId="List">
    <w:name w:val="List"/>
    <w:basedOn w:val="BodyText"/>
    <w:next w:val="BodyText"/>
    <w:rsid w:val="000B0C68"/>
    <w:pPr>
      <w:tabs>
        <w:tab w:val="left" w:pos="340"/>
      </w:tabs>
      <w:spacing w:before="60" w:after="60"/>
      <w:ind w:left="340" w:hanging="340"/>
    </w:pPr>
  </w:style>
  <w:style w:type="paragraph" w:customStyle="1" w:styleId="Note">
    <w:name w:val="Note"/>
    <w:basedOn w:val="BodyText"/>
    <w:rsid w:val="000B0C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0C68"/>
    <w:pPr>
      <w:framePr w:wrap="auto" w:hAnchor="text" w:y="6049"/>
    </w:pPr>
    <w:rPr>
      <w:color w:val="000000"/>
      <w:sz w:val="40"/>
    </w:rPr>
  </w:style>
  <w:style w:type="paragraph" w:customStyle="1" w:styleId="TOCTitle">
    <w:name w:val="TOCTitle"/>
    <w:basedOn w:val="Heading1"/>
    <w:rsid w:val="000B0C68"/>
    <w:pPr>
      <w:spacing w:after="240"/>
      <w:jc w:val="center"/>
      <w:outlineLvl w:val="9"/>
    </w:pPr>
    <w:rPr>
      <w:caps/>
    </w:rPr>
  </w:style>
  <w:style w:type="paragraph" w:customStyle="1" w:styleId="Version">
    <w:name w:val="Version"/>
    <w:rsid w:val="000B0C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0C68"/>
    <w:pPr>
      <w:keepNext w:val="0"/>
      <w:tabs>
        <w:tab w:val="right" w:pos="4176"/>
      </w:tabs>
      <w:ind w:left="198" w:hanging="198"/>
    </w:pPr>
    <w:rPr>
      <w:rFonts w:ascii="Garamond" w:hAnsi="Garamond"/>
    </w:rPr>
  </w:style>
  <w:style w:type="paragraph" w:styleId="IndexHeading">
    <w:name w:val="index heading"/>
    <w:basedOn w:val="Normal"/>
    <w:next w:val="Index1"/>
    <w:semiHidden/>
    <w:rsid w:val="000B0C68"/>
    <w:pPr>
      <w:spacing w:before="120" w:after="120"/>
    </w:pPr>
    <w:rPr>
      <w:rFonts w:ascii="Arial" w:hAnsi="Arial"/>
      <w:b/>
      <w:color w:val="918585"/>
      <w:sz w:val="24"/>
    </w:rPr>
  </w:style>
  <w:style w:type="paragraph" w:styleId="Header">
    <w:name w:val="header"/>
    <w:basedOn w:val="Normal"/>
    <w:link w:val="HeaderChar"/>
    <w:rsid w:val="000B0C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0C68"/>
    <w:rPr>
      <w:rFonts w:ascii="Times New Roman" w:eastAsia="Times New Roman" w:hAnsi="Times New Roman" w:cs="Times New Roman"/>
      <w:sz w:val="16"/>
      <w:szCs w:val="20"/>
      <w:lang w:val="en-GB" w:eastAsia="en-US"/>
    </w:rPr>
  </w:style>
  <w:style w:type="paragraph" w:customStyle="1" w:styleId="Chapter">
    <w:name w:val="Chapter"/>
    <w:basedOn w:val="Normal"/>
    <w:rsid w:val="000B0C68"/>
    <w:pPr>
      <w:spacing w:before="240"/>
    </w:pPr>
    <w:rPr>
      <w:rFonts w:ascii="Times New Roman" w:hAnsi="Times New Roman"/>
      <w:smallCaps/>
      <w:spacing w:val="80"/>
      <w:sz w:val="28"/>
    </w:rPr>
  </w:style>
  <w:style w:type="paragraph" w:customStyle="1" w:styleId="InChapter">
    <w:name w:val="InChapter"/>
    <w:basedOn w:val="Heading3"/>
    <w:rsid w:val="000B0C68"/>
    <w:pPr>
      <w:spacing w:after="240"/>
      <w:outlineLvl w:val="9"/>
    </w:pPr>
    <w:rPr>
      <w:noProof/>
    </w:rPr>
  </w:style>
  <w:style w:type="paragraph" w:styleId="Index2">
    <w:name w:val="index 2"/>
    <w:basedOn w:val="Normal"/>
    <w:next w:val="Normal"/>
    <w:semiHidden/>
    <w:rsid w:val="000B0C68"/>
    <w:pPr>
      <w:tabs>
        <w:tab w:val="right" w:pos="4176"/>
      </w:tabs>
      <w:ind w:left="568" w:hanging="284"/>
    </w:pPr>
    <w:rPr>
      <w:rFonts w:ascii="Garamond" w:hAnsi="Garamond"/>
    </w:rPr>
  </w:style>
  <w:style w:type="paragraph" w:customStyle="1" w:styleId="Byline">
    <w:name w:val="Byline"/>
    <w:rsid w:val="000B0C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0C68"/>
    <w:pPr>
      <w:tabs>
        <w:tab w:val="clear" w:pos="3600"/>
        <w:tab w:val="clear" w:pos="3958"/>
      </w:tabs>
      <w:jc w:val="right"/>
    </w:pPr>
  </w:style>
  <w:style w:type="character" w:styleId="Emphasis">
    <w:name w:val="Emphasis"/>
    <w:basedOn w:val="DefaultParagraphFont"/>
    <w:qFormat/>
    <w:rsid w:val="000B0C68"/>
    <w:rPr>
      <w:i/>
    </w:rPr>
  </w:style>
  <w:style w:type="paragraph" w:styleId="Caption">
    <w:name w:val="caption"/>
    <w:basedOn w:val="BodyText"/>
    <w:next w:val="Normal"/>
    <w:qFormat/>
    <w:rsid w:val="000B0C68"/>
    <w:pPr>
      <w:framePr w:w="2268" w:hSpace="181" w:vSpace="181" w:wrap="around" w:vAnchor="text" w:hAnchor="page" w:x="1135" w:y="285" w:anchorLock="1"/>
    </w:pPr>
    <w:rPr>
      <w:i/>
    </w:rPr>
  </w:style>
  <w:style w:type="paragraph" w:customStyle="1" w:styleId="MiniTOCTitle">
    <w:name w:val="MiniTOCTitle"/>
    <w:basedOn w:val="Heading4"/>
    <w:rsid w:val="000B0C68"/>
    <w:pPr>
      <w:spacing w:before="240"/>
      <w:outlineLvl w:val="9"/>
    </w:pPr>
    <w:rPr>
      <w:noProof/>
      <w:sz w:val="24"/>
    </w:rPr>
  </w:style>
  <w:style w:type="paragraph" w:customStyle="1" w:styleId="MiniTOCItem">
    <w:name w:val="MiniTOCItem"/>
    <w:basedOn w:val="ListBullet"/>
    <w:rsid w:val="000B0C68"/>
    <w:pPr>
      <w:numPr>
        <w:numId w:val="0"/>
      </w:numPr>
      <w:tabs>
        <w:tab w:val="right" w:leader="dot" w:pos="6521"/>
      </w:tabs>
      <w:spacing w:before="0" w:after="0"/>
    </w:pPr>
  </w:style>
  <w:style w:type="paragraph" w:customStyle="1" w:styleId="TOFTitle">
    <w:name w:val="TOFTitle"/>
    <w:basedOn w:val="TOCTitle"/>
    <w:rsid w:val="000B0C68"/>
  </w:style>
  <w:style w:type="paragraph" w:styleId="TableofFigures">
    <w:name w:val="table of figures"/>
    <w:basedOn w:val="Normal"/>
    <w:next w:val="Normal"/>
    <w:semiHidden/>
    <w:rsid w:val="000B0C68"/>
    <w:pPr>
      <w:tabs>
        <w:tab w:val="right" w:leader="dot" w:pos="9072"/>
      </w:tabs>
      <w:ind w:left="970" w:hanging="403"/>
    </w:pPr>
    <w:rPr>
      <w:rFonts w:ascii="Times New Roman" w:hAnsi="Times New Roman"/>
      <w:b/>
    </w:rPr>
  </w:style>
  <w:style w:type="paragraph" w:styleId="ListNumber">
    <w:name w:val="List Number"/>
    <w:basedOn w:val="List"/>
    <w:rsid w:val="000B0C68"/>
    <w:pPr>
      <w:numPr>
        <w:numId w:val="11"/>
      </w:numPr>
    </w:pPr>
  </w:style>
  <w:style w:type="character" w:customStyle="1" w:styleId="WingdingSymbols">
    <w:name w:val="Wingding Symbols"/>
    <w:rsid w:val="000B0C68"/>
    <w:rPr>
      <w:rFonts w:ascii="Wingdings" w:hAnsi="Wingdings"/>
    </w:rPr>
  </w:style>
  <w:style w:type="paragraph" w:customStyle="1" w:styleId="TableHeading">
    <w:name w:val="Table Heading"/>
    <w:basedOn w:val="HeadingBase"/>
    <w:rsid w:val="000B0C68"/>
    <w:pPr>
      <w:keepLines/>
      <w:pBdr>
        <w:bottom w:val="single" w:sz="6" w:space="1" w:color="918585"/>
      </w:pBdr>
      <w:spacing w:before="240"/>
    </w:pPr>
  </w:style>
  <w:style w:type="character" w:customStyle="1" w:styleId="HotSpot">
    <w:name w:val="HotSpot"/>
    <w:rsid w:val="000B0C68"/>
    <w:rPr>
      <w:color w:val="0033CC"/>
      <w:u w:val="none"/>
    </w:rPr>
  </w:style>
  <w:style w:type="paragraph" w:customStyle="1" w:styleId="BodyTextRight">
    <w:name w:val="Body Text Right"/>
    <w:basedOn w:val="BodyText"/>
    <w:rsid w:val="000B0C68"/>
    <w:pPr>
      <w:spacing w:before="0" w:after="0"/>
      <w:jc w:val="right"/>
    </w:pPr>
  </w:style>
  <w:style w:type="paragraph" w:styleId="Index3">
    <w:name w:val="index 3"/>
    <w:basedOn w:val="ListNumber2"/>
    <w:next w:val="Normal"/>
    <w:semiHidden/>
    <w:rsid w:val="000B0C68"/>
    <w:pPr>
      <w:numPr>
        <w:numId w:val="0"/>
      </w:numPr>
      <w:tabs>
        <w:tab w:val="right" w:leader="dot" w:pos="4176"/>
      </w:tabs>
    </w:pPr>
  </w:style>
  <w:style w:type="paragraph" w:styleId="ListNumber2">
    <w:name w:val="List Number 2"/>
    <w:basedOn w:val="List2"/>
    <w:rsid w:val="000B0C68"/>
    <w:pPr>
      <w:numPr>
        <w:numId w:val="10"/>
      </w:numPr>
      <w:tabs>
        <w:tab w:val="clear" w:pos="1060"/>
      </w:tabs>
    </w:pPr>
  </w:style>
  <w:style w:type="paragraph" w:customStyle="1" w:styleId="MarginNote">
    <w:name w:val="Margin Note"/>
    <w:basedOn w:val="BodyText"/>
    <w:rsid w:val="000B0C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0C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0C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0C68"/>
    <w:rPr>
      <w:sz w:val="32"/>
    </w:rPr>
  </w:style>
  <w:style w:type="paragraph" w:customStyle="1" w:styleId="HeadingProcedure">
    <w:name w:val="Heading Procedure"/>
    <w:basedOn w:val="HeadingBase"/>
    <w:next w:val="Normal"/>
    <w:rsid w:val="000B0C68"/>
    <w:pPr>
      <w:tabs>
        <w:tab w:val="left" w:pos="0"/>
      </w:tabs>
      <w:spacing w:before="120" w:after="60"/>
    </w:pPr>
    <w:rPr>
      <w:i/>
      <w:color w:val="918585"/>
      <w:sz w:val="22"/>
    </w:rPr>
  </w:style>
  <w:style w:type="paragraph" w:customStyle="1" w:styleId="TableBodyText">
    <w:name w:val="Table Body Text"/>
    <w:basedOn w:val="BodyText"/>
    <w:rsid w:val="000B0C68"/>
    <w:pPr>
      <w:spacing w:before="60" w:after="60"/>
    </w:pPr>
  </w:style>
  <w:style w:type="paragraph" w:styleId="ListContinue">
    <w:name w:val="List Continue"/>
    <w:basedOn w:val="List"/>
    <w:rsid w:val="000B0C68"/>
    <w:pPr>
      <w:ind w:firstLine="0"/>
    </w:pPr>
  </w:style>
  <w:style w:type="paragraph" w:customStyle="1" w:styleId="ListNote">
    <w:name w:val="List Note"/>
    <w:basedOn w:val="List"/>
    <w:rsid w:val="000B0C68"/>
    <w:pPr>
      <w:pBdr>
        <w:top w:val="single" w:sz="6" w:space="2" w:color="918585"/>
        <w:bottom w:val="single" w:sz="6" w:space="2" w:color="918585"/>
      </w:pBdr>
      <w:tabs>
        <w:tab w:val="left" w:pos="1021"/>
      </w:tabs>
      <w:ind w:firstLine="0"/>
    </w:pPr>
  </w:style>
  <w:style w:type="paragraph" w:customStyle="1" w:styleId="Warning">
    <w:name w:val="Warning"/>
    <w:basedOn w:val="BodyText"/>
    <w:rsid w:val="000B0C68"/>
    <w:pPr>
      <w:shd w:val="clear" w:color="auto" w:fill="D9D9D9"/>
      <w:tabs>
        <w:tab w:val="left" w:pos="992"/>
      </w:tabs>
      <w:ind w:left="119" w:right="119"/>
    </w:pPr>
    <w:rPr>
      <w:sz w:val="20"/>
    </w:rPr>
  </w:style>
  <w:style w:type="paragraph" w:customStyle="1" w:styleId="MarginIcons">
    <w:name w:val="Margin Icons"/>
    <w:basedOn w:val="BodyText"/>
    <w:rsid w:val="000B0C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0C68"/>
    <w:rPr>
      <w:rFonts w:ascii="Courier New" w:hAnsi="Courier New"/>
    </w:rPr>
  </w:style>
  <w:style w:type="paragraph" w:customStyle="1" w:styleId="NoteBullet">
    <w:name w:val="Note Bullet"/>
    <w:basedOn w:val="Note"/>
    <w:rsid w:val="000B0C68"/>
    <w:pPr>
      <w:tabs>
        <w:tab w:val="clear" w:pos="680"/>
      </w:tabs>
      <w:spacing w:before="60" w:after="60"/>
    </w:pPr>
  </w:style>
  <w:style w:type="paragraph" w:customStyle="1" w:styleId="SubHeading2">
    <w:name w:val="SubHeading2"/>
    <w:basedOn w:val="HeadingBase"/>
    <w:rsid w:val="000B0C68"/>
    <w:pPr>
      <w:spacing w:before="240" w:after="60"/>
    </w:pPr>
    <w:rPr>
      <w:sz w:val="20"/>
    </w:rPr>
  </w:style>
  <w:style w:type="paragraph" w:customStyle="1" w:styleId="SubHeading1">
    <w:name w:val="SubHeading1"/>
    <w:basedOn w:val="HeadingBase"/>
    <w:rsid w:val="000B0C68"/>
    <w:pPr>
      <w:spacing w:before="240" w:after="60"/>
    </w:pPr>
    <w:rPr>
      <w:color w:val="918585"/>
      <w:sz w:val="22"/>
    </w:rPr>
  </w:style>
  <w:style w:type="paragraph" w:customStyle="1" w:styleId="SideHeading">
    <w:name w:val="Side Heading"/>
    <w:basedOn w:val="HeadingBase"/>
    <w:rsid w:val="000B0C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0C68"/>
    <w:pPr>
      <w:numPr>
        <w:numId w:val="12"/>
      </w:numPr>
    </w:pPr>
  </w:style>
  <w:style w:type="paragraph" w:styleId="PlainText">
    <w:name w:val="Plain Text"/>
    <w:basedOn w:val="Normal"/>
    <w:link w:val="PlainTextChar"/>
    <w:rsid w:val="000B0C68"/>
    <w:rPr>
      <w:sz w:val="20"/>
    </w:rPr>
  </w:style>
  <w:style w:type="character" w:customStyle="1" w:styleId="PlainTextChar">
    <w:name w:val="Plain Text Char"/>
    <w:basedOn w:val="DefaultParagraphFont"/>
    <w:link w:val="PlainText"/>
    <w:rsid w:val="000B0C68"/>
    <w:rPr>
      <w:rFonts w:ascii="Courier New" w:eastAsia="Times New Roman" w:hAnsi="Courier New" w:cs="Times New Roman"/>
      <w:sz w:val="20"/>
      <w:szCs w:val="20"/>
      <w:lang w:eastAsia="en-US"/>
    </w:rPr>
  </w:style>
  <w:style w:type="character" w:customStyle="1" w:styleId="MenuOption">
    <w:name w:val="Menu Option"/>
    <w:basedOn w:val="DefaultParagraphFont"/>
    <w:rsid w:val="000B0C68"/>
    <w:rPr>
      <w:b/>
      <w:smallCaps/>
    </w:rPr>
  </w:style>
  <w:style w:type="paragraph" w:customStyle="1" w:styleId="TableListNumber">
    <w:name w:val="Table List Number"/>
    <w:basedOn w:val="ListNumber"/>
    <w:rsid w:val="000B0C68"/>
    <w:pPr>
      <w:numPr>
        <w:numId w:val="0"/>
      </w:numPr>
    </w:pPr>
  </w:style>
  <w:style w:type="paragraph" w:styleId="TOC4">
    <w:name w:val="toc 4"/>
    <w:basedOn w:val="TOCBase"/>
    <w:next w:val="Normal"/>
    <w:semiHidden/>
    <w:rsid w:val="000B0C68"/>
    <w:pPr>
      <w:tabs>
        <w:tab w:val="right" w:leader="dot" w:pos="9071"/>
      </w:tabs>
      <w:ind w:left="1701"/>
    </w:pPr>
  </w:style>
  <w:style w:type="paragraph" w:customStyle="1" w:styleId="ListAlpha">
    <w:name w:val="List Alpha"/>
    <w:basedOn w:val="List"/>
    <w:rsid w:val="000B0C68"/>
    <w:pPr>
      <w:numPr>
        <w:numId w:val="9"/>
      </w:numPr>
    </w:pPr>
  </w:style>
  <w:style w:type="paragraph" w:customStyle="1" w:styleId="ListAlpha2">
    <w:name w:val="List Alpha 2"/>
    <w:basedOn w:val="List2"/>
    <w:rsid w:val="000B0C68"/>
    <w:pPr>
      <w:numPr>
        <w:numId w:val="8"/>
      </w:numPr>
    </w:pPr>
  </w:style>
  <w:style w:type="paragraph" w:styleId="List2">
    <w:name w:val="List 2"/>
    <w:basedOn w:val="BodyText"/>
    <w:rsid w:val="000B0C68"/>
    <w:pPr>
      <w:tabs>
        <w:tab w:val="left" w:pos="680"/>
      </w:tabs>
      <w:spacing w:before="60" w:after="60"/>
      <w:ind w:left="680" w:hanging="340"/>
    </w:pPr>
  </w:style>
  <w:style w:type="paragraph" w:styleId="List3">
    <w:name w:val="List 3"/>
    <w:basedOn w:val="BodyText"/>
    <w:rsid w:val="000B0C68"/>
    <w:pPr>
      <w:tabs>
        <w:tab w:val="left" w:pos="1021"/>
      </w:tabs>
      <w:spacing w:before="60" w:after="60"/>
      <w:ind w:left="1020" w:hanging="340"/>
    </w:pPr>
  </w:style>
  <w:style w:type="paragraph" w:styleId="List4">
    <w:name w:val="List 4"/>
    <w:basedOn w:val="BodyText"/>
    <w:rsid w:val="000B0C68"/>
    <w:pPr>
      <w:tabs>
        <w:tab w:val="left" w:pos="1361"/>
      </w:tabs>
      <w:spacing w:before="60" w:after="60"/>
      <w:ind w:left="1361" w:hanging="340"/>
    </w:pPr>
  </w:style>
  <w:style w:type="paragraph" w:styleId="List5">
    <w:name w:val="List 5"/>
    <w:basedOn w:val="BodyText"/>
    <w:rsid w:val="000B0C68"/>
    <w:pPr>
      <w:tabs>
        <w:tab w:val="left" w:pos="1701"/>
      </w:tabs>
      <w:spacing w:before="60" w:after="60"/>
      <w:ind w:left="1701" w:hanging="340"/>
    </w:pPr>
  </w:style>
  <w:style w:type="paragraph" w:styleId="ListBullet3">
    <w:name w:val="List Bullet 3"/>
    <w:basedOn w:val="List3"/>
    <w:rsid w:val="000B0C68"/>
    <w:pPr>
      <w:numPr>
        <w:numId w:val="15"/>
      </w:numPr>
      <w:tabs>
        <w:tab w:val="clear" w:pos="1021"/>
      </w:tabs>
      <w:ind w:left="1037" w:hanging="357"/>
    </w:pPr>
  </w:style>
  <w:style w:type="paragraph" w:styleId="ListBullet4">
    <w:name w:val="List Bullet 4"/>
    <w:basedOn w:val="List4"/>
    <w:rsid w:val="000B0C68"/>
    <w:pPr>
      <w:numPr>
        <w:numId w:val="3"/>
      </w:numPr>
      <w:tabs>
        <w:tab w:val="clear" w:pos="1361"/>
      </w:tabs>
    </w:pPr>
  </w:style>
  <w:style w:type="paragraph" w:styleId="ListBullet5">
    <w:name w:val="List Bullet 5"/>
    <w:basedOn w:val="List5"/>
    <w:rsid w:val="000B0C68"/>
    <w:pPr>
      <w:numPr>
        <w:numId w:val="4"/>
      </w:numPr>
    </w:pPr>
  </w:style>
  <w:style w:type="paragraph" w:styleId="ListContinue2">
    <w:name w:val="List Continue 2"/>
    <w:basedOn w:val="List2"/>
    <w:rsid w:val="000B0C68"/>
    <w:pPr>
      <w:ind w:firstLine="0"/>
    </w:pPr>
  </w:style>
  <w:style w:type="paragraph" w:styleId="ListContinue3">
    <w:name w:val="List Continue 3"/>
    <w:basedOn w:val="List3"/>
    <w:rsid w:val="000B0C68"/>
    <w:pPr>
      <w:ind w:left="1021" w:firstLine="0"/>
    </w:pPr>
  </w:style>
  <w:style w:type="paragraph" w:styleId="ListContinue4">
    <w:name w:val="List Continue 4"/>
    <w:basedOn w:val="List4"/>
    <w:rsid w:val="000B0C68"/>
    <w:pPr>
      <w:ind w:firstLine="0"/>
    </w:pPr>
  </w:style>
  <w:style w:type="paragraph" w:styleId="ListContinue5">
    <w:name w:val="List Continue 5"/>
    <w:basedOn w:val="List5"/>
    <w:rsid w:val="000B0C68"/>
    <w:pPr>
      <w:ind w:firstLine="0"/>
    </w:pPr>
  </w:style>
  <w:style w:type="paragraph" w:styleId="ListNumber3">
    <w:name w:val="List Number 3"/>
    <w:basedOn w:val="List3"/>
    <w:rsid w:val="000B0C68"/>
    <w:pPr>
      <w:numPr>
        <w:numId w:val="5"/>
      </w:numPr>
    </w:pPr>
  </w:style>
  <w:style w:type="paragraph" w:styleId="ListNumber4">
    <w:name w:val="List Number 4"/>
    <w:basedOn w:val="List4"/>
    <w:rsid w:val="000B0C68"/>
    <w:pPr>
      <w:numPr>
        <w:numId w:val="6"/>
      </w:numPr>
    </w:pPr>
  </w:style>
  <w:style w:type="paragraph" w:styleId="ListNumber5">
    <w:name w:val="List Number 5"/>
    <w:basedOn w:val="List5"/>
    <w:rsid w:val="000B0C68"/>
    <w:pPr>
      <w:numPr>
        <w:numId w:val="7"/>
      </w:numPr>
    </w:pPr>
  </w:style>
  <w:style w:type="paragraph" w:styleId="BlockText">
    <w:name w:val="Block Text"/>
    <w:basedOn w:val="Normal"/>
    <w:rsid w:val="000B0C68"/>
    <w:pPr>
      <w:spacing w:after="120"/>
      <w:ind w:left="1440" w:right="1440"/>
    </w:pPr>
  </w:style>
  <w:style w:type="character" w:customStyle="1" w:styleId="Subscript">
    <w:name w:val="Subscript"/>
    <w:basedOn w:val="DefaultParagraphFont"/>
    <w:rsid w:val="000B0C68"/>
    <w:rPr>
      <w:sz w:val="16"/>
      <w:vertAlign w:val="subscript"/>
    </w:rPr>
  </w:style>
  <w:style w:type="character" w:customStyle="1" w:styleId="Superscript">
    <w:name w:val="Superscript"/>
    <w:basedOn w:val="DefaultParagraphFont"/>
    <w:rsid w:val="000B0C68"/>
    <w:rPr>
      <w:sz w:val="16"/>
      <w:vertAlign w:val="superscript"/>
    </w:rPr>
  </w:style>
  <w:style w:type="character" w:customStyle="1" w:styleId="Symbols">
    <w:name w:val="Symbols"/>
    <w:basedOn w:val="DefaultParagraphFont"/>
    <w:rsid w:val="000B0C68"/>
    <w:rPr>
      <w:rFonts w:ascii="Symbol" w:hAnsi="Symbol"/>
    </w:rPr>
  </w:style>
  <w:style w:type="character" w:customStyle="1" w:styleId="MenuOptions">
    <w:name w:val="Menu Options"/>
    <w:basedOn w:val="DefaultParagraphFont"/>
    <w:rsid w:val="000B0C68"/>
    <w:rPr>
      <w:rFonts w:ascii="Arial Narrow" w:hAnsi="Arial Narrow"/>
      <w:smallCaps/>
    </w:rPr>
  </w:style>
  <w:style w:type="character" w:customStyle="1" w:styleId="Buttons">
    <w:name w:val="Buttons"/>
    <w:basedOn w:val="DefaultParagraphFont"/>
    <w:rsid w:val="000B0C68"/>
    <w:rPr>
      <w:b/>
    </w:rPr>
  </w:style>
  <w:style w:type="character" w:customStyle="1" w:styleId="Underlined">
    <w:name w:val="Underlined"/>
    <w:basedOn w:val="DefaultParagraphFont"/>
    <w:rsid w:val="000B0C68"/>
    <w:rPr>
      <w:u w:val="single"/>
    </w:rPr>
  </w:style>
  <w:style w:type="paragraph" w:customStyle="1" w:styleId="TableBodyTextRight">
    <w:name w:val="Table Body Text Right"/>
    <w:basedOn w:val="TableBodyText"/>
    <w:rsid w:val="000B0C68"/>
    <w:pPr>
      <w:widowControl w:val="0"/>
      <w:autoSpaceDE w:val="0"/>
      <w:autoSpaceDN w:val="0"/>
      <w:adjustRightInd w:val="0"/>
      <w:jc w:val="right"/>
    </w:pPr>
    <w:rPr>
      <w:rFonts w:cs="Arial"/>
      <w:szCs w:val="18"/>
    </w:rPr>
  </w:style>
  <w:style w:type="paragraph" w:customStyle="1" w:styleId="CopyrightText">
    <w:name w:val="Copyright Text"/>
    <w:basedOn w:val="BodyText"/>
    <w:rsid w:val="000B0C68"/>
    <w:rPr>
      <w:sz w:val="18"/>
    </w:rPr>
  </w:style>
  <w:style w:type="paragraph" w:customStyle="1" w:styleId="BodySmallRight">
    <w:name w:val="Body Small Right"/>
    <w:basedOn w:val="BodyTextRight"/>
    <w:rsid w:val="000B0C68"/>
    <w:rPr>
      <w:sz w:val="18"/>
      <w:szCs w:val="18"/>
    </w:rPr>
  </w:style>
  <w:style w:type="paragraph" w:customStyle="1" w:styleId="MarginEdition">
    <w:name w:val="Margin Edition"/>
    <w:basedOn w:val="MarginNote"/>
    <w:rsid w:val="000B0C68"/>
    <w:pPr>
      <w:spacing w:before="0" w:after="0"/>
    </w:pPr>
    <w:rPr>
      <w:rFonts w:ascii="Times New Roman" w:hAnsi="Times New Roman"/>
      <w:color w:val="999999"/>
    </w:rPr>
  </w:style>
  <w:style w:type="paragraph" w:customStyle="1" w:styleId="Spacer">
    <w:name w:val="Spacer"/>
    <w:basedOn w:val="Normal"/>
    <w:rsid w:val="000B0C68"/>
    <w:rPr>
      <w:sz w:val="2"/>
      <w:szCs w:val="2"/>
    </w:rPr>
  </w:style>
  <w:style w:type="character" w:customStyle="1" w:styleId="Small">
    <w:name w:val="Small"/>
    <w:basedOn w:val="DefaultParagraphFont"/>
    <w:rsid w:val="000B0C68"/>
    <w:rPr>
      <w:sz w:val="16"/>
    </w:rPr>
  </w:style>
  <w:style w:type="paragraph" w:customStyle="1" w:styleId="WideTable">
    <w:name w:val="Wide Table"/>
    <w:basedOn w:val="Normal"/>
    <w:rsid w:val="000B0C68"/>
    <w:pPr>
      <w:ind w:left="-1418"/>
    </w:pPr>
    <w:rPr>
      <w:sz w:val="2"/>
      <w:szCs w:val="2"/>
    </w:rPr>
  </w:style>
  <w:style w:type="character" w:styleId="PageNumber">
    <w:name w:val="page number"/>
    <w:basedOn w:val="DefaultParagraphFont"/>
    <w:rsid w:val="000B0C68"/>
  </w:style>
  <w:style w:type="paragraph" w:styleId="Quote">
    <w:name w:val="Quote"/>
    <w:basedOn w:val="Heading1"/>
    <w:link w:val="QuoteChar"/>
    <w:qFormat/>
    <w:rsid w:val="000B0C68"/>
    <w:rPr>
      <w:b w:val="0"/>
      <w:sz w:val="72"/>
      <w:szCs w:val="72"/>
      <w:lang w:val="en-NZ"/>
    </w:rPr>
  </w:style>
  <w:style w:type="character" w:customStyle="1" w:styleId="QuoteChar">
    <w:name w:val="Quote Char"/>
    <w:basedOn w:val="DefaultParagraphFont"/>
    <w:link w:val="Quote"/>
    <w:rsid w:val="000B0C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0C68"/>
    <w:pPr>
      <w:pageBreakBefore/>
    </w:pPr>
  </w:style>
  <w:style w:type="paragraph" w:customStyle="1" w:styleId="Border">
    <w:name w:val="Border"/>
    <w:basedOn w:val="Normal"/>
    <w:qFormat/>
    <w:rsid w:val="000B0C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0C68"/>
    <w:rPr>
      <w:b/>
      <w:bCs/>
      <w:i/>
      <w:iCs/>
      <w:color w:val="auto"/>
    </w:rPr>
  </w:style>
  <w:style w:type="paragraph" w:styleId="IntenseQuote">
    <w:name w:val="Intense Quote"/>
    <w:basedOn w:val="Normal"/>
    <w:next w:val="Normal"/>
    <w:link w:val="IntenseQuoteChar"/>
    <w:uiPriority w:val="30"/>
    <w:qFormat/>
    <w:rsid w:val="000B0C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0C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0C68"/>
    <w:rPr>
      <w:smallCaps/>
      <w:color w:val="auto"/>
      <w:u w:val="single"/>
    </w:rPr>
  </w:style>
  <w:style w:type="character" w:styleId="IntenseReference">
    <w:name w:val="Intense Reference"/>
    <w:basedOn w:val="DefaultParagraphFont"/>
    <w:uiPriority w:val="32"/>
    <w:qFormat/>
    <w:rsid w:val="000B0C68"/>
    <w:rPr>
      <w:b/>
      <w:bCs/>
      <w:smallCaps/>
      <w:color w:val="auto"/>
      <w:spacing w:val="5"/>
      <w:u w:val="single"/>
    </w:rPr>
  </w:style>
  <w:style w:type="paragraph" w:customStyle="1" w:styleId="2ColumnHeading">
    <w:name w:val="2Column Heading"/>
    <w:basedOn w:val="BodyText"/>
    <w:qFormat/>
    <w:rsid w:val="000B0C68"/>
    <w:pPr>
      <w:spacing w:after="60"/>
      <w:ind w:left="-2268"/>
    </w:pPr>
    <w:rPr>
      <w:b/>
    </w:rPr>
  </w:style>
  <w:style w:type="paragraph" w:customStyle="1" w:styleId="Heading1TOC">
    <w:name w:val="Heading1 TOC"/>
    <w:basedOn w:val="Normal"/>
    <w:qFormat/>
    <w:rsid w:val="000B0C68"/>
    <w:pPr>
      <w:spacing w:before="240" w:after="120"/>
    </w:pPr>
    <w:rPr>
      <w:rFonts w:ascii="Times New Roman" w:hAnsi="Times New Roman"/>
      <w:b/>
      <w:sz w:val="32"/>
    </w:rPr>
  </w:style>
  <w:style w:type="paragraph" w:customStyle="1" w:styleId="Heading2TOC">
    <w:name w:val="Heading2 TOC"/>
    <w:basedOn w:val="Normal"/>
    <w:qFormat/>
    <w:rsid w:val="000B0C68"/>
    <w:pPr>
      <w:spacing w:before="240" w:after="60"/>
    </w:pPr>
    <w:rPr>
      <w:rFonts w:ascii="Times New Roman" w:hAnsi="Times New Roman"/>
      <w:b/>
      <w:sz w:val="28"/>
    </w:rPr>
  </w:style>
  <w:style w:type="character" w:customStyle="1" w:styleId="Underline">
    <w:name w:val="Underline"/>
    <w:basedOn w:val="DefaultParagraphFont"/>
    <w:qFormat/>
    <w:rsid w:val="000B0C68"/>
    <w:rPr>
      <w:u w:val="single"/>
    </w:rPr>
  </w:style>
  <w:style w:type="character" w:customStyle="1" w:styleId="BoldandItalics">
    <w:name w:val="Bold and Italics"/>
    <w:qFormat/>
    <w:rsid w:val="000B0C68"/>
    <w:rPr>
      <w:b/>
      <w:i/>
      <w:u w:val="none"/>
    </w:rPr>
  </w:style>
  <w:style w:type="paragraph" w:styleId="BalloonText">
    <w:name w:val="Balloon Text"/>
    <w:basedOn w:val="Normal"/>
    <w:link w:val="BalloonTextChar"/>
    <w:rsid w:val="000B0C68"/>
    <w:rPr>
      <w:rFonts w:ascii="Tahoma" w:hAnsi="Tahoma" w:cs="Tahoma"/>
      <w:sz w:val="16"/>
      <w:szCs w:val="16"/>
    </w:rPr>
  </w:style>
  <w:style w:type="character" w:customStyle="1" w:styleId="BalloonTextChar">
    <w:name w:val="Balloon Text Char"/>
    <w:basedOn w:val="DefaultParagraphFont"/>
    <w:link w:val="BalloonText"/>
    <w:rsid w:val="000B0C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0C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0C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0C68"/>
    <w:rPr>
      <w:b/>
      <w:color w:val="660033"/>
      <w:spacing w:val="0"/>
    </w:rPr>
  </w:style>
  <w:style w:type="paragraph" w:customStyle="1" w:styleId="Nameditemlist">
    <w:name w:val="Named item list"/>
    <w:basedOn w:val="BodyText"/>
    <w:qFormat/>
    <w:rsid w:val="000B0C6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1031</Words>
  <Characters>6730</Characters>
  <Application>Microsoft Office Word</Application>
  <DocSecurity>0</DocSecurity>
  <Lines>316</Lines>
  <Paragraphs>174</Paragraphs>
  <ScaleCrop>false</ScaleCrop>
  <Company>Author-it Software Corporation Ltd.</Company>
  <LinksUpToDate>false</LinksUpToDate>
  <CharactersWithSpaces>7686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MSFID5011 Specify soft furnishings for complete interior solution</dc:title>
  <dc:subject>Approved</dc:subject>
  <dc:creator>Manufacturing Skills Australia</dc:creator>
  <cp:keywords>Release: 1</cp:keywords>
  <dc:description>Review Date: 12 April 2008</dc:description>
  <cp:lastModifiedBy>TPCMS</cp:lastModifiedBy>
  <cp:revision>3</cp:revision>
  <dcterms:created xsi:type="dcterms:W3CDTF">2016-12-09T03:56:00Z</dcterms:created>
  <dcterms:modified xsi:type="dcterms:W3CDTF">2016-12-09T03:56:00Z</dcterms:modified>
</cp:coreProperties>
</file>