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E38" w:rsidP="003B0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MSFID4021 Design soft furnishing solutions for interior spaces</w:t>
      </w:r>
      <w:r>
        <w:fldChar w:fldCharType="end"/>
      </w:r>
    </w:p>
    <w:p w:rsidR="003B0E38" w:rsidP="003B0E38">
      <w:pPr>
        <w:pStyle w:val="Version"/>
        <w:sectPr w:rsidSect="00DE5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659" w:rsidP="00DE5659">
      <w:pPr>
        <w:pStyle w:val="SuperHeading"/>
      </w:pPr>
      <w:r w:rsidRPr="00DE5659">
        <w:t>Assessment Requirements for MSFID4021 Design soft furnishing solutions for interior spaces</w:t>
      </w:r>
    </w:p>
    <w:p w:rsidR="00000000" w:rsidRPr="00DE5659" w:rsidP="00DE5659">
      <w:pPr>
        <w:pStyle w:val="Heading1"/>
      </w:pPr>
      <w:bookmarkStart w:id="1" w:name="O_1014964"/>
      <w:bookmarkEnd w:id="1"/>
      <w:r w:rsidRPr="00DE5659">
        <w:t>Modification History</w:t>
      </w:r>
    </w:p>
    <w:p w:rsidR="003B0E38" w:rsidP="003B0E38">
      <w:pPr>
        <w:pStyle w:val="BodyText"/>
      </w:pPr>
      <w:r w:rsidRPr="00DE5659">
        <w:t>Release 1. Supersedes and is not equivalent to MSFID40</w:t>
      </w:r>
      <w:r w:rsidRPr="00DE5659">
        <w:t xml:space="preserve">05 Research and recommend soft furnishings for interiors, and, MSFID5011 Specify soft furnishings for complete interior solution. </w:t>
      </w:r>
    </w:p>
    <w:p w:rsidR="00000000" w:rsidRPr="00DE5659" w:rsidP="00DE5659">
      <w:pPr>
        <w:pStyle w:val="Heading1"/>
      </w:pPr>
      <w:bookmarkStart w:id="2" w:name="O_1014965"/>
      <w:bookmarkEnd w:id="2"/>
      <w:r w:rsidRPr="00DE5659">
        <w:t>Performance Evidence</w:t>
      </w:r>
    </w:p>
    <w:p w:rsidR="00000000" w:rsidRPr="00DE5659" w:rsidP="003B0E38">
      <w:pPr>
        <w:pStyle w:val="BodyText"/>
      </w:pPr>
      <w:r w:rsidRPr="00DE5659">
        <w:t>There must be evidence the candidate has completed the tasks outlined in the element</w:t>
      </w:r>
      <w:r w:rsidRPr="00DE5659">
        <w:t xml:space="preserve">s and performance criteria of this unit, and: </w:t>
      </w:r>
    </w:p>
    <w:p w:rsidR="00000000" w:rsidRPr="00DE5659" w:rsidP="00DE5659">
      <w:pPr>
        <w:pStyle w:val="ListBullet"/>
      </w:pPr>
      <w:r w:rsidRPr="00DE5659">
        <w:t>designed and presented soft furnishing solutions in response to 3 different project briefs that individually or cumulatively require solutions for the following, with at least 1 project requiring the integrat</w:t>
      </w:r>
      <w:r w:rsidRPr="00DE5659">
        <w:t>ion of all three:</w:t>
      </w:r>
    </w:p>
    <w:p w:rsidR="00000000" w:rsidRPr="00DE5659" w:rsidP="00DE5659">
      <w:pPr>
        <w:pStyle w:val="ListBullet2"/>
      </w:pPr>
      <w:r w:rsidRPr="00DE5659">
        <w:t>soft furnishings</w:t>
      </w:r>
    </w:p>
    <w:p w:rsidR="00000000" w:rsidRPr="00DE5659" w:rsidP="00DE5659">
      <w:pPr>
        <w:pStyle w:val="ListBullet2"/>
      </w:pPr>
      <w:r w:rsidRPr="00DE5659">
        <w:t>soft floor coverings</w:t>
      </w:r>
    </w:p>
    <w:p w:rsidR="00000000" w:rsidRPr="00DE5659" w:rsidP="00DE5659">
      <w:pPr>
        <w:pStyle w:val="ListBullet2"/>
      </w:pPr>
      <w:r w:rsidRPr="00DE5659">
        <w:t>decorative solutions for windows and openings</w:t>
      </w:r>
    </w:p>
    <w:p w:rsidR="00000000" w:rsidRPr="00DE5659" w:rsidP="00DE5659">
      <w:pPr>
        <w:pStyle w:val="ListBullet"/>
      </w:pPr>
      <w:r w:rsidRPr="00DE5659">
        <w:t>designed solutions for different client requirements in terms of:</w:t>
      </w:r>
    </w:p>
    <w:p w:rsidR="00000000" w:rsidRPr="00DE5659" w:rsidP="00DE5659">
      <w:pPr>
        <w:pStyle w:val="ListBullet2"/>
      </w:pPr>
      <w:r w:rsidRPr="00DE5659">
        <w:t>budget</w:t>
      </w:r>
    </w:p>
    <w:p w:rsidR="003B0E38" w:rsidP="00DE5659">
      <w:pPr>
        <w:pStyle w:val="ListBullet2"/>
      </w:pPr>
      <w:r w:rsidRPr="00DE5659">
        <w:t>style.</w:t>
      </w:r>
    </w:p>
    <w:p w:rsidR="003B0E38" w:rsidP="00DE5659">
      <w:pPr>
        <w:pStyle w:val="ListBullet2"/>
      </w:pPr>
    </w:p>
    <w:p w:rsidR="00000000" w:rsidRPr="00DE5659" w:rsidP="00DE5659">
      <w:pPr>
        <w:pStyle w:val="Heading1"/>
      </w:pPr>
      <w:bookmarkStart w:id="3" w:name="O_1014966"/>
      <w:bookmarkEnd w:id="3"/>
      <w:r w:rsidRPr="00DE5659">
        <w:t>Knowledge Evidence</w:t>
      </w:r>
    </w:p>
    <w:p w:rsidR="00000000" w:rsidRPr="00DE5659" w:rsidP="003B0E38">
      <w:pPr>
        <w:pStyle w:val="BodyText"/>
      </w:pPr>
      <w:r w:rsidRPr="00DE5659">
        <w:t>There must be evidence the candidate has knowledge of:</w:t>
      </w:r>
    </w:p>
    <w:p w:rsidR="00000000" w:rsidRPr="00DE5659" w:rsidP="00DE5659">
      <w:pPr>
        <w:pStyle w:val="ListBullet"/>
      </w:pPr>
      <w:r w:rsidRPr="00DE5659">
        <w:t>legal and ethical considerations for the provision of product advice, including:</w:t>
      </w:r>
    </w:p>
    <w:p w:rsidR="00000000" w:rsidRPr="00DE5659" w:rsidP="00DE5659">
      <w:pPr>
        <w:pStyle w:val="ListBullet2"/>
      </w:pPr>
      <w:r w:rsidRPr="00DE5659">
        <w:t>individual worker responsibilities under Australian consumer law</w:t>
      </w:r>
    </w:p>
    <w:p w:rsidR="00000000" w:rsidRPr="00DE5659" w:rsidP="00DE5659">
      <w:pPr>
        <w:pStyle w:val="ListBullet2"/>
      </w:pPr>
      <w:r w:rsidRPr="00DE5659">
        <w:t xml:space="preserve">environmental impact of product lifecycle </w:t>
      </w:r>
    </w:p>
    <w:p w:rsidR="00000000" w:rsidRPr="00DE5659" w:rsidP="00DE5659">
      <w:pPr>
        <w:pStyle w:val="ListBullet2"/>
      </w:pPr>
      <w:r w:rsidRPr="00DE5659">
        <w:t>social res</w:t>
      </w:r>
      <w:r w:rsidRPr="00DE5659">
        <w:t xml:space="preserve">ponsibility of product lifecycle </w:t>
      </w:r>
    </w:p>
    <w:p w:rsidR="00000000" w:rsidRPr="00DE5659" w:rsidP="00DE5659">
      <w:pPr>
        <w:pStyle w:val="ListBullet2"/>
      </w:pPr>
      <w:r w:rsidRPr="00DE5659">
        <w:t>universally accessible design considerations</w:t>
      </w:r>
    </w:p>
    <w:p w:rsidR="00000000" w:rsidRPr="00DE5659" w:rsidP="00DE5659">
      <w:pPr>
        <w:pStyle w:val="ListBullet"/>
      </w:pPr>
      <w:r w:rsidRPr="00DE5659">
        <w:t>type and scope of client and/or project brief information needed to inform research and recommendation:</w:t>
      </w:r>
    </w:p>
    <w:p w:rsidR="00000000" w:rsidRPr="00DE5659" w:rsidP="00DE5659">
      <w:pPr>
        <w:pStyle w:val="ListBullet2"/>
      </w:pPr>
      <w:r w:rsidRPr="00DE5659">
        <w:t>budget</w:t>
      </w:r>
    </w:p>
    <w:p w:rsidR="00000000" w:rsidRPr="00DE5659" w:rsidP="00DE5659">
      <w:pPr>
        <w:pStyle w:val="ListBullet2"/>
      </w:pPr>
      <w:r w:rsidRPr="00DE5659">
        <w:t>client preferences</w:t>
      </w:r>
    </w:p>
    <w:p w:rsidR="00000000" w:rsidRPr="00DE5659" w:rsidP="00DE5659">
      <w:pPr>
        <w:pStyle w:val="ListBullet2"/>
      </w:pPr>
      <w:r w:rsidRPr="00DE5659">
        <w:t>aesthetic and functional requirements</w:t>
      </w:r>
    </w:p>
    <w:p w:rsidR="00000000" w:rsidRPr="00DE5659" w:rsidP="00DE5659">
      <w:pPr>
        <w:pStyle w:val="ListBullet2"/>
      </w:pPr>
      <w:r w:rsidRPr="00DE5659">
        <w:t>site ch</w:t>
      </w:r>
      <w:r w:rsidRPr="00DE5659">
        <w:t xml:space="preserve">aracteristics </w:t>
      </w:r>
    </w:p>
    <w:p w:rsidR="00000000" w:rsidRPr="00DE5659" w:rsidP="00DE5659">
      <w:pPr>
        <w:pStyle w:val="ListBullet2"/>
      </w:pPr>
      <w:r w:rsidRPr="00DE5659">
        <w:t xml:space="preserve">timeline </w:t>
      </w:r>
    </w:p>
    <w:p w:rsidR="00000000" w:rsidRPr="00DE5659" w:rsidP="00DE5659">
      <w:pPr>
        <w:pStyle w:val="ListBullet"/>
      </w:pPr>
      <w:r w:rsidRPr="00DE5659">
        <w:t>mathematical procedures for estimation and measurement</w:t>
      </w:r>
    </w:p>
    <w:p w:rsidR="00000000" w:rsidRPr="00DE5659" w:rsidP="00DE5659">
      <w:pPr>
        <w:pStyle w:val="ListBullet"/>
      </w:pPr>
      <w:r w:rsidRPr="00DE5659">
        <w:t>how different aspects of space impact on potential solutions, including:</w:t>
      </w:r>
    </w:p>
    <w:p w:rsidR="00000000" w:rsidRPr="00DE5659" w:rsidP="00DE5659">
      <w:pPr>
        <w:pStyle w:val="ListBullet2"/>
      </w:pPr>
      <w:r w:rsidRPr="00DE5659">
        <w:t>colour</w:t>
      </w:r>
    </w:p>
    <w:p w:rsidR="00000000" w:rsidRPr="00DE5659" w:rsidP="00DE5659">
      <w:pPr>
        <w:pStyle w:val="ListBullet2"/>
      </w:pPr>
      <w:r w:rsidRPr="00DE5659">
        <w:t>level of light</w:t>
      </w:r>
    </w:p>
    <w:p w:rsidR="00000000" w:rsidRPr="00DE5659" w:rsidP="00DE5659">
      <w:pPr>
        <w:pStyle w:val="ListBullet2"/>
      </w:pPr>
      <w:r w:rsidRPr="00DE5659">
        <w:t>positioning</w:t>
      </w:r>
    </w:p>
    <w:p w:rsidR="00000000" w:rsidRPr="00DE5659" w:rsidP="00DE5659">
      <w:pPr>
        <w:pStyle w:val="ListBullet2"/>
      </w:pPr>
      <w:r w:rsidRPr="00DE5659">
        <w:t>size</w:t>
      </w:r>
    </w:p>
    <w:p w:rsidR="00000000" w:rsidRPr="00DE5659" w:rsidP="00DE5659">
      <w:pPr>
        <w:pStyle w:val="ListBullet2"/>
      </w:pPr>
      <w:r w:rsidRPr="00DE5659">
        <w:t>shape</w:t>
      </w:r>
    </w:p>
    <w:p w:rsidR="00000000" w:rsidRPr="00DE5659" w:rsidP="00DE5659">
      <w:pPr>
        <w:pStyle w:val="ListBullet2"/>
      </w:pPr>
      <w:r w:rsidRPr="00DE5659">
        <w:t>structural features</w:t>
      </w:r>
    </w:p>
    <w:p w:rsidR="00000000" w:rsidRPr="00DE5659" w:rsidP="00DE5659">
      <w:pPr>
        <w:pStyle w:val="ListBullet"/>
      </w:pPr>
      <w:r w:rsidRPr="00DE5659">
        <w:t xml:space="preserve">types and features of resources that support the provision of design advice, and how they are used, including: </w:t>
      </w:r>
    </w:p>
    <w:p w:rsidR="00000000" w:rsidRPr="00DE5659" w:rsidP="00DE5659">
      <w:pPr>
        <w:pStyle w:val="ListBullet2"/>
      </w:pPr>
      <w:r w:rsidRPr="00DE5659">
        <w:t>research tools</w:t>
      </w:r>
    </w:p>
    <w:p w:rsidR="00000000" w:rsidRPr="00DE5659" w:rsidP="00DE5659">
      <w:pPr>
        <w:pStyle w:val="ListBullet2"/>
      </w:pPr>
      <w:r w:rsidRPr="00DE5659">
        <w:t>product tools</w:t>
      </w:r>
    </w:p>
    <w:p w:rsidR="00000000" w:rsidRPr="00DE5659" w:rsidP="00DE5659">
      <w:pPr>
        <w:pStyle w:val="ListBullet2"/>
      </w:pPr>
      <w:r w:rsidRPr="00DE5659">
        <w:t>communication tools</w:t>
      </w:r>
    </w:p>
    <w:p w:rsidR="00000000" w:rsidRPr="00DE5659" w:rsidP="00DE5659">
      <w:pPr>
        <w:pStyle w:val="ListBullet"/>
      </w:pPr>
      <w:r w:rsidRPr="00DE5659">
        <w:t>sources of information on soft furnishings, including:</w:t>
      </w:r>
    </w:p>
    <w:p w:rsidR="00000000" w:rsidRPr="00DE5659" w:rsidP="00DE5659">
      <w:pPr>
        <w:pStyle w:val="ListBullet2"/>
      </w:pPr>
      <w:r w:rsidRPr="00DE5659">
        <w:t>how to access</w:t>
      </w:r>
    </w:p>
    <w:p w:rsidR="00000000" w:rsidRPr="00DE5659" w:rsidP="00DE5659">
      <w:pPr>
        <w:pStyle w:val="ListBullet2"/>
      </w:pPr>
      <w:r w:rsidRPr="00DE5659">
        <w:t>ways to identify, interrogate and distil information</w:t>
      </w:r>
    </w:p>
    <w:p w:rsidR="00000000" w:rsidRPr="00DE5659" w:rsidP="00DE5659">
      <w:pPr>
        <w:pStyle w:val="ListBullet"/>
      </w:pPr>
      <w:r w:rsidRPr="00DE5659">
        <w:t>features of different soft furnishing types and styles, used in different spaces, and properties of materials, including how pattern repeats affect material use, trimmings and componentry used, includin</w:t>
      </w:r>
      <w:r w:rsidRPr="00DE5659">
        <w:t xml:space="preserve">g those for: </w:t>
      </w:r>
    </w:p>
    <w:p w:rsidR="00000000" w:rsidRPr="00DE5659" w:rsidP="00DE5659">
      <w:pPr>
        <w:pStyle w:val="ListBullet2"/>
      </w:pPr>
      <w:r w:rsidRPr="00DE5659">
        <w:t>bedding treatments</w:t>
      </w:r>
    </w:p>
    <w:p w:rsidR="00000000" w:rsidRPr="00DE5659" w:rsidP="00DE5659">
      <w:pPr>
        <w:pStyle w:val="ListBullet2"/>
      </w:pPr>
      <w:r w:rsidRPr="00DE5659">
        <w:t>cushions</w:t>
      </w:r>
    </w:p>
    <w:p w:rsidR="00000000" w:rsidRPr="00DE5659" w:rsidP="00DE5659">
      <w:pPr>
        <w:pStyle w:val="ListBullet2"/>
      </w:pPr>
      <w:r w:rsidRPr="00DE5659">
        <w:t>floor coverings –carpet, hard finishes, rugs</w:t>
      </w:r>
    </w:p>
    <w:p w:rsidR="00000000" w:rsidRPr="00DE5659" w:rsidP="00DE5659">
      <w:pPr>
        <w:pStyle w:val="ListBullet2"/>
      </w:pPr>
      <w:r w:rsidRPr="00DE5659">
        <w:t>lampshades</w:t>
      </w:r>
    </w:p>
    <w:p w:rsidR="00000000" w:rsidRPr="00DE5659" w:rsidP="00DE5659">
      <w:pPr>
        <w:pStyle w:val="ListBullet2"/>
      </w:pPr>
      <w:r w:rsidRPr="00DE5659">
        <w:t>trimmings</w:t>
      </w:r>
    </w:p>
    <w:p w:rsidR="00000000" w:rsidRPr="00DE5659" w:rsidP="00DE5659">
      <w:pPr>
        <w:pStyle w:val="ListBullet2"/>
      </w:pPr>
      <w:r w:rsidRPr="00DE5659">
        <w:t xml:space="preserve">upholstery </w:t>
      </w:r>
    </w:p>
    <w:p w:rsidR="00000000" w:rsidRPr="00DE5659" w:rsidP="00DE5659">
      <w:pPr>
        <w:pStyle w:val="ListBullet2"/>
      </w:pPr>
      <w:r w:rsidRPr="00DE5659">
        <w:t>walls</w:t>
      </w:r>
    </w:p>
    <w:p w:rsidR="00000000" w:rsidRPr="00DE5659" w:rsidP="00DE5659">
      <w:pPr>
        <w:pStyle w:val="ListBullet2"/>
      </w:pPr>
      <w:r w:rsidRPr="00DE5659">
        <w:t>window coverings, including how pattern repeats affect material use</w:t>
      </w:r>
    </w:p>
    <w:p w:rsidR="00000000" w:rsidRPr="00DE5659" w:rsidP="00DE5659">
      <w:pPr>
        <w:pStyle w:val="ListBullet"/>
      </w:pPr>
      <w:r w:rsidRPr="00DE5659">
        <w:t>current and emerging manufacturing technologies for soft fur</w:t>
      </w:r>
      <w:r w:rsidRPr="00DE5659">
        <w:t>nishings</w:t>
      </w:r>
    </w:p>
    <w:p w:rsidR="00000000" w:rsidRPr="00DE5659" w:rsidP="00DE5659">
      <w:pPr>
        <w:pStyle w:val="ListBullet"/>
      </w:pPr>
      <w:r w:rsidRPr="00DE5659">
        <w:t>factors about the properties of soft furnishings and how these inform recommendations:</w:t>
      </w:r>
    </w:p>
    <w:p w:rsidR="00000000" w:rsidRPr="00DE5659" w:rsidP="00DE5659">
      <w:pPr>
        <w:pStyle w:val="ListBullet2"/>
      </w:pPr>
      <w:r w:rsidRPr="00DE5659">
        <w:t>level of insulation and/or acoustic properties</w:t>
      </w:r>
    </w:p>
    <w:p w:rsidR="00000000" w:rsidRPr="00DE5659" w:rsidP="00DE5659">
      <w:pPr>
        <w:pStyle w:val="ListBullet2"/>
      </w:pPr>
      <w:r w:rsidRPr="00DE5659">
        <w:t xml:space="preserve">level of light control </w:t>
      </w:r>
    </w:p>
    <w:p w:rsidR="00000000" w:rsidRPr="00DE5659" w:rsidP="00DE5659">
      <w:pPr>
        <w:pStyle w:val="ListBullet2"/>
      </w:pPr>
      <w:r w:rsidRPr="00DE5659">
        <w:t>construction, composition and materials, including tactile nature of products</w:t>
      </w:r>
    </w:p>
    <w:p w:rsidR="00000000" w:rsidRPr="00DE5659" w:rsidP="00DE5659">
      <w:pPr>
        <w:pStyle w:val="ListBullet2"/>
      </w:pPr>
      <w:r w:rsidRPr="00DE5659">
        <w:t>fibre composition and attributes of fabrics, linings and fills</w:t>
      </w:r>
    </w:p>
    <w:p w:rsidR="00000000" w:rsidRPr="00DE5659" w:rsidP="00DE5659">
      <w:pPr>
        <w:pStyle w:val="ListBullet2"/>
      </w:pPr>
      <w:r w:rsidRPr="00DE5659">
        <w:t>installation considerations and availability of expertise</w:t>
      </w:r>
    </w:p>
    <w:p w:rsidR="00000000" w:rsidRPr="00DE5659" w:rsidP="00DE5659">
      <w:pPr>
        <w:pStyle w:val="ListBullet2"/>
      </w:pPr>
      <w:r w:rsidRPr="00DE5659">
        <w:t>quality</w:t>
      </w:r>
    </w:p>
    <w:p w:rsidR="00000000" w:rsidRPr="00DE5659" w:rsidP="00DE5659">
      <w:pPr>
        <w:pStyle w:val="ListBullet2"/>
      </w:pPr>
      <w:r w:rsidRPr="00DE5659">
        <w:t>safety – flammability, fixing requirements</w:t>
      </w:r>
    </w:p>
    <w:p w:rsidR="00000000" w:rsidRPr="00DE5659" w:rsidP="00DE5659">
      <w:pPr>
        <w:pStyle w:val="ListBullet2"/>
      </w:pPr>
      <w:r w:rsidRPr="00DE5659">
        <w:t>sustainability</w:t>
      </w:r>
    </w:p>
    <w:p w:rsidR="00000000" w:rsidRPr="00DE5659" w:rsidP="00DE5659">
      <w:pPr>
        <w:pStyle w:val="ListBullet2"/>
      </w:pPr>
      <w:r w:rsidRPr="00DE5659">
        <w:t>textile use – standards and testing methods/scores</w:t>
      </w:r>
    </w:p>
    <w:p w:rsidR="00000000" w:rsidRPr="00DE5659" w:rsidP="00DE5659">
      <w:pPr>
        <w:pStyle w:val="ListBullet2"/>
      </w:pPr>
      <w:r w:rsidRPr="00DE5659">
        <w:t>maintenance and/or</w:t>
      </w:r>
      <w:r w:rsidRPr="00DE5659">
        <w:t xml:space="preserve"> cleaning requirements</w:t>
      </w:r>
    </w:p>
    <w:p w:rsidR="00000000" w:rsidRPr="00DE5659" w:rsidP="00DE5659">
      <w:pPr>
        <w:pStyle w:val="ListBullet2"/>
      </w:pPr>
      <w:r w:rsidRPr="00DE5659">
        <w:t>useable width of fabric, including pattern repeats, wide width, continuous, multi directional, railroaded</w:t>
      </w:r>
    </w:p>
    <w:p w:rsidR="00000000" w:rsidRPr="00DE5659" w:rsidP="00DE5659">
      <w:pPr>
        <w:pStyle w:val="ListBullet"/>
      </w:pPr>
      <w:r w:rsidRPr="00DE5659">
        <w:t xml:space="preserve">human interaction and/or use of soft furnishings </w:t>
      </w:r>
    </w:p>
    <w:p w:rsidR="00000000" w:rsidRPr="00DE5659" w:rsidP="00DE5659">
      <w:pPr>
        <w:pStyle w:val="ListBullet"/>
      </w:pPr>
      <w:r w:rsidRPr="00DE5659">
        <w:t>current and emerging trends in window treatments and options:</w:t>
      </w:r>
    </w:p>
    <w:p w:rsidR="00000000" w:rsidRPr="00DE5659" w:rsidP="00DE5659">
      <w:pPr>
        <w:pStyle w:val="ListBullet2"/>
      </w:pPr>
      <w:r w:rsidRPr="00DE5659">
        <w:t>fabric requir</w:t>
      </w:r>
      <w:r w:rsidRPr="00DE5659">
        <w:t>ements</w:t>
      </w:r>
    </w:p>
    <w:p w:rsidR="00000000" w:rsidRPr="00DE5659" w:rsidP="00DE5659">
      <w:pPr>
        <w:pStyle w:val="ListBullet2"/>
      </w:pPr>
      <w:r w:rsidRPr="00DE5659">
        <w:t>fixing technologies</w:t>
      </w:r>
    </w:p>
    <w:p w:rsidR="00000000" w:rsidRPr="00DE5659" w:rsidP="00DE5659">
      <w:pPr>
        <w:pStyle w:val="ListBullet2"/>
      </w:pPr>
      <w:r w:rsidRPr="00DE5659">
        <w:t>types of openings</w:t>
      </w:r>
    </w:p>
    <w:p w:rsidR="00000000" w:rsidRPr="00DE5659" w:rsidP="00DE5659">
      <w:pPr>
        <w:pStyle w:val="ListBullet"/>
      </w:pPr>
      <w:r w:rsidRPr="00DE5659">
        <w:t xml:space="preserve">basic aspects of ergonomics, anthropometric and proxemic values </w:t>
      </w:r>
    </w:p>
    <w:p w:rsidR="00000000" w:rsidRPr="00DE5659" w:rsidP="00DE5659">
      <w:pPr>
        <w:pStyle w:val="ListBullet"/>
      </w:pPr>
      <w:r w:rsidRPr="00DE5659">
        <w:t>elements and principles of design, their interrelationships, and how they are used in interior decoration</w:t>
      </w:r>
    </w:p>
    <w:p w:rsidR="003B0E38" w:rsidP="00DE5659">
      <w:pPr>
        <w:pStyle w:val="ListBullet"/>
      </w:pPr>
      <w:r w:rsidRPr="00DE5659">
        <w:t xml:space="preserve">different ways of creating visual representations for design solutions.  </w:t>
      </w:r>
    </w:p>
    <w:p w:rsidR="003B0E38" w:rsidP="00DE5659">
      <w:pPr>
        <w:pStyle w:val="ListBullet"/>
      </w:pPr>
    </w:p>
    <w:p w:rsidR="00000000" w:rsidRPr="00DE5659" w:rsidP="00DE5659">
      <w:pPr>
        <w:pStyle w:val="Heading1"/>
      </w:pPr>
      <w:bookmarkStart w:id="4" w:name="O_1014967"/>
      <w:bookmarkEnd w:id="4"/>
      <w:r w:rsidRPr="00DE5659">
        <w:t>Assessment Conditions</w:t>
      </w:r>
    </w:p>
    <w:p w:rsidR="00000000" w:rsidRPr="00DE5659" w:rsidP="003B0E38">
      <w:pPr>
        <w:pStyle w:val="BodyText"/>
      </w:pPr>
      <w:r w:rsidRPr="00DE5659">
        <w:t xml:space="preserve">Skills must have been demonstrated in the workplace or in a simulated environment that reflects workplace conditions and contingencies. The </w:t>
      </w:r>
      <w:r w:rsidRPr="00DE5659">
        <w:t xml:space="preserve">following conditions must be met for this unit: </w:t>
      </w:r>
    </w:p>
    <w:p w:rsidR="00000000" w:rsidRPr="00DE5659" w:rsidP="00DE5659">
      <w:pPr>
        <w:pStyle w:val="ListBullet"/>
      </w:pPr>
      <w:r w:rsidRPr="00DE5659">
        <w:t xml:space="preserve">use of suitable facilities, equipment and resources, including: </w:t>
      </w:r>
    </w:p>
    <w:p w:rsidR="00000000" w:rsidRPr="00DE5659" w:rsidP="00DE5659">
      <w:pPr>
        <w:pStyle w:val="ListBullet2"/>
      </w:pPr>
      <w:r w:rsidRPr="00DE5659">
        <w:t>design briefs</w:t>
      </w:r>
    </w:p>
    <w:p w:rsidR="00000000" w:rsidRPr="00DE5659" w:rsidP="00DE5659">
      <w:pPr>
        <w:pStyle w:val="ListBullet2"/>
      </w:pPr>
      <w:r w:rsidRPr="00DE5659">
        <w:t>spaces for decoration</w:t>
      </w:r>
    </w:p>
    <w:p w:rsidR="00000000" w:rsidRPr="00DE5659" w:rsidP="00DE5659">
      <w:pPr>
        <w:pStyle w:val="ListBullet2"/>
      </w:pPr>
      <w:r w:rsidRPr="00DE5659">
        <w:t>measuring equipment</w:t>
      </w:r>
    </w:p>
    <w:p w:rsidR="00000000" w:rsidRPr="00DE5659" w:rsidP="00DE5659">
      <w:pPr>
        <w:pStyle w:val="ListBullet2"/>
      </w:pPr>
      <w:r w:rsidRPr="00DE5659">
        <w:t>information technology for research and design presentation.</w:t>
      </w:r>
    </w:p>
    <w:p w:rsidR="003B0E38" w:rsidP="003B0E38">
      <w:pPr>
        <w:pStyle w:val="BodyText"/>
      </w:pPr>
      <w:r w:rsidRPr="00DE5659">
        <w:t xml:space="preserve">Assessors must satisfy </w:t>
      </w:r>
      <w:r w:rsidRPr="00DE5659">
        <w:t>the NVR/AQTF mandatory competency requirements for assessors.</w:t>
      </w:r>
    </w:p>
    <w:p w:rsidR="00000000" w:rsidRPr="00DE5659" w:rsidP="00DE5659">
      <w:pPr>
        <w:pStyle w:val="Heading1"/>
      </w:pPr>
      <w:bookmarkStart w:id="5" w:name="O_1014970"/>
      <w:bookmarkEnd w:id="5"/>
      <w:r w:rsidRPr="00DE5659">
        <w:t>Links</w:t>
      </w:r>
    </w:p>
    <w:p w:rsidR="00000000" w:rsidRPr="00DE5659" w:rsidP="003B0E38">
      <w:pPr>
        <w:pStyle w:val="BodyText"/>
      </w:pPr>
      <w:r w:rsidRPr="00DE5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87A8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E5659" w:rsidP="00DE5659"/>
    <w:sectPr w:rsidSect="00DE5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9" w:rsidRPr="003B0E38" w:rsidP="003B0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38" w:rsidP="00DE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E38" w:rsidP="00DE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0E38" w:rsidP="00DE5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659" w:rsidRPr="003B0E38" w:rsidP="003B0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38" w:rsidRPr="002D2AF8" w:rsidP="00DE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MSFID4021 Design soft furnishing solutions for interior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B0E38" w:rsidP="00DE5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01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A3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63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659"/>
  </w:style>
  <w:style w:type="character" w:customStyle="1" w:styleId="Heading1Char">
    <w:name w:val="Heading 1 Char"/>
    <w:basedOn w:val="DefaultParagraphFont"/>
    <w:link w:val="Heading1"/>
    <w:rsid w:val="00DE5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6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6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659"/>
    <w:rPr>
      <w:b/>
      <w:spacing w:val="0"/>
    </w:rPr>
  </w:style>
  <w:style w:type="paragraph" w:customStyle="1" w:styleId="SuperTitle">
    <w:name w:val="SuperTitle"/>
    <w:basedOn w:val="Title"/>
    <w:rsid w:val="00DE5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659"/>
    <w:rPr>
      <w:i/>
    </w:rPr>
  </w:style>
  <w:style w:type="paragraph" w:styleId="Caption">
    <w:name w:val="caption"/>
    <w:basedOn w:val="BodyText"/>
    <w:next w:val="Normal"/>
    <w:qFormat/>
    <w:rsid w:val="00DE5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659"/>
  </w:style>
  <w:style w:type="paragraph" w:styleId="TableofFigures">
    <w:name w:val="table of figures"/>
    <w:basedOn w:val="Normal"/>
    <w:next w:val="Normal"/>
    <w:semiHidden/>
    <w:rsid w:val="00DE5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6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659"/>
    <w:rPr>
      <w:rFonts w:ascii="Wingdings" w:hAnsi="Wingdings"/>
    </w:rPr>
  </w:style>
  <w:style w:type="paragraph" w:customStyle="1" w:styleId="TableHeading">
    <w:name w:val="Table Heading"/>
    <w:basedOn w:val="HeadingBase"/>
    <w:rsid w:val="00DE5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659"/>
    <w:rPr>
      <w:color w:val="0033CC"/>
      <w:u w:val="none"/>
    </w:rPr>
  </w:style>
  <w:style w:type="paragraph" w:customStyle="1" w:styleId="BodyTextRight">
    <w:name w:val="Body Text Right"/>
    <w:basedOn w:val="BodyText"/>
    <w:rsid w:val="00DE5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6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659"/>
    <w:rPr>
      <w:sz w:val="32"/>
    </w:rPr>
  </w:style>
  <w:style w:type="paragraph" w:customStyle="1" w:styleId="HeadingProcedure">
    <w:name w:val="Heading Procedure"/>
    <w:basedOn w:val="HeadingBase"/>
    <w:next w:val="Normal"/>
    <w:rsid w:val="00DE5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659"/>
    <w:pPr>
      <w:spacing w:before="60" w:after="60"/>
    </w:pPr>
  </w:style>
  <w:style w:type="paragraph" w:styleId="ListContinue">
    <w:name w:val="List Continue"/>
    <w:basedOn w:val="List"/>
    <w:rsid w:val="00DE5659"/>
    <w:pPr>
      <w:ind w:firstLine="0"/>
    </w:pPr>
  </w:style>
  <w:style w:type="paragraph" w:customStyle="1" w:styleId="ListNote">
    <w:name w:val="List Note"/>
    <w:basedOn w:val="List"/>
    <w:rsid w:val="00DE5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659"/>
    <w:rPr>
      <w:rFonts w:ascii="Courier New" w:hAnsi="Courier New"/>
    </w:rPr>
  </w:style>
  <w:style w:type="paragraph" w:customStyle="1" w:styleId="NoteBullet">
    <w:name w:val="Note Bullet"/>
    <w:basedOn w:val="Note"/>
    <w:rsid w:val="00DE5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6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659"/>
    <w:rPr>
      <w:b/>
      <w:smallCaps/>
    </w:rPr>
  </w:style>
  <w:style w:type="paragraph" w:customStyle="1" w:styleId="TableListNumber">
    <w:name w:val="Table List Number"/>
    <w:basedOn w:val="ListNumber"/>
    <w:rsid w:val="00DE5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659"/>
    <w:pPr>
      <w:numPr>
        <w:numId w:val="9"/>
      </w:numPr>
    </w:pPr>
  </w:style>
  <w:style w:type="paragraph" w:customStyle="1" w:styleId="ListAlpha2">
    <w:name w:val="List Alpha 2"/>
    <w:basedOn w:val="List2"/>
    <w:rsid w:val="00DE5659"/>
    <w:pPr>
      <w:numPr>
        <w:numId w:val="8"/>
      </w:numPr>
    </w:pPr>
  </w:style>
  <w:style w:type="paragraph" w:styleId="List2">
    <w:name w:val="List 2"/>
    <w:basedOn w:val="BodyText"/>
    <w:rsid w:val="00DE5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6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6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659"/>
    <w:pPr>
      <w:numPr>
        <w:numId w:val="4"/>
      </w:numPr>
    </w:pPr>
  </w:style>
  <w:style w:type="paragraph" w:styleId="ListContinue2">
    <w:name w:val="List Continue 2"/>
    <w:basedOn w:val="List2"/>
    <w:rsid w:val="00DE5659"/>
    <w:pPr>
      <w:ind w:firstLine="0"/>
    </w:pPr>
  </w:style>
  <w:style w:type="paragraph" w:styleId="ListContinue3">
    <w:name w:val="List Continue 3"/>
    <w:basedOn w:val="List3"/>
    <w:rsid w:val="00DE5659"/>
    <w:pPr>
      <w:ind w:left="1021" w:firstLine="0"/>
    </w:pPr>
  </w:style>
  <w:style w:type="paragraph" w:styleId="ListContinue4">
    <w:name w:val="List Continue 4"/>
    <w:basedOn w:val="List4"/>
    <w:rsid w:val="00DE5659"/>
    <w:pPr>
      <w:ind w:firstLine="0"/>
    </w:pPr>
  </w:style>
  <w:style w:type="paragraph" w:styleId="ListContinue5">
    <w:name w:val="List Continue 5"/>
    <w:basedOn w:val="List5"/>
    <w:rsid w:val="00DE5659"/>
    <w:pPr>
      <w:ind w:firstLine="0"/>
    </w:pPr>
  </w:style>
  <w:style w:type="paragraph" w:styleId="ListNumber3">
    <w:name w:val="List Number 3"/>
    <w:basedOn w:val="List3"/>
    <w:rsid w:val="00DE5659"/>
    <w:pPr>
      <w:numPr>
        <w:numId w:val="5"/>
      </w:numPr>
    </w:pPr>
  </w:style>
  <w:style w:type="paragraph" w:styleId="ListNumber4">
    <w:name w:val="List Number 4"/>
    <w:basedOn w:val="List4"/>
    <w:rsid w:val="00DE5659"/>
    <w:pPr>
      <w:numPr>
        <w:numId w:val="6"/>
      </w:numPr>
    </w:pPr>
  </w:style>
  <w:style w:type="paragraph" w:styleId="ListNumber5">
    <w:name w:val="List Number 5"/>
    <w:basedOn w:val="List5"/>
    <w:rsid w:val="00DE5659"/>
    <w:pPr>
      <w:numPr>
        <w:numId w:val="7"/>
      </w:numPr>
    </w:pPr>
  </w:style>
  <w:style w:type="paragraph" w:styleId="BlockText">
    <w:name w:val="Block Text"/>
    <w:basedOn w:val="Normal"/>
    <w:rsid w:val="00DE5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659"/>
    <w:rPr>
      <w:sz w:val="16"/>
      <w:vertAlign w:val="superscript"/>
    </w:rPr>
  </w:style>
  <w:style w:type="character" w:customStyle="1" w:styleId="Symbols">
    <w:name w:val="Symbols"/>
    <w:basedOn w:val="DefaultParagraphFont"/>
    <w:rsid w:val="00DE5659"/>
    <w:rPr>
      <w:rFonts w:ascii="Symbol" w:hAnsi="Symbol"/>
    </w:rPr>
  </w:style>
  <w:style w:type="character" w:customStyle="1" w:styleId="MenuOptions">
    <w:name w:val="Menu Options"/>
    <w:basedOn w:val="DefaultParagraphFont"/>
    <w:rsid w:val="00DE5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659"/>
    <w:rPr>
      <w:b/>
    </w:rPr>
  </w:style>
  <w:style w:type="character" w:customStyle="1" w:styleId="Underlined">
    <w:name w:val="Underlined"/>
    <w:basedOn w:val="DefaultParagraphFont"/>
    <w:rsid w:val="00DE5659"/>
    <w:rPr>
      <w:u w:val="single"/>
    </w:rPr>
  </w:style>
  <w:style w:type="paragraph" w:customStyle="1" w:styleId="TableBodyTextRight">
    <w:name w:val="Table Body Text Right"/>
    <w:basedOn w:val="TableBodyText"/>
    <w:rsid w:val="00DE5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659"/>
    <w:rPr>
      <w:sz w:val="18"/>
    </w:rPr>
  </w:style>
  <w:style w:type="paragraph" w:customStyle="1" w:styleId="BodySmallRight">
    <w:name w:val="Body Small Right"/>
    <w:basedOn w:val="BodyTextRight"/>
    <w:rsid w:val="00DE5659"/>
    <w:rPr>
      <w:sz w:val="18"/>
      <w:szCs w:val="18"/>
    </w:rPr>
  </w:style>
  <w:style w:type="paragraph" w:customStyle="1" w:styleId="MarginEdition">
    <w:name w:val="Margin Edition"/>
    <w:basedOn w:val="MarginNote"/>
    <w:rsid w:val="00DE5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659"/>
    <w:rPr>
      <w:sz w:val="2"/>
      <w:szCs w:val="2"/>
    </w:rPr>
  </w:style>
  <w:style w:type="character" w:customStyle="1" w:styleId="Small">
    <w:name w:val="Small"/>
    <w:basedOn w:val="DefaultParagraphFont"/>
    <w:rsid w:val="00DE5659"/>
    <w:rPr>
      <w:sz w:val="16"/>
    </w:rPr>
  </w:style>
  <w:style w:type="paragraph" w:customStyle="1" w:styleId="WideTable">
    <w:name w:val="Wide Table"/>
    <w:basedOn w:val="Normal"/>
    <w:rsid w:val="00DE5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659"/>
  </w:style>
  <w:style w:type="paragraph" w:styleId="Quote">
    <w:name w:val="Quote"/>
    <w:basedOn w:val="Heading1"/>
    <w:link w:val="QuoteChar"/>
    <w:qFormat/>
    <w:rsid w:val="00DE5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659"/>
    <w:pPr>
      <w:pageBreakBefore/>
    </w:pPr>
  </w:style>
  <w:style w:type="paragraph" w:customStyle="1" w:styleId="Border">
    <w:name w:val="Border"/>
    <w:basedOn w:val="Normal"/>
    <w:qFormat/>
    <w:rsid w:val="00DE5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659"/>
    <w:rPr>
      <w:u w:val="single"/>
    </w:rPr>
  </w:style>
  <w:style w:type="character" w:customStyle="1" w:styleId="BoldandItalics">
    <w:name w:val="Bold and Italics"/>
    <w:qFormat/>
    <w:rsid w:val="00DE5659"/>
    <w:rPr>
      <w:b/>
      <w:i/>
      <w:u w:val="none"/>
    </w:rPr>
  </w:style>
  <w:style w:type="paragraph" w:styleId="BalloonText">
    <w:name w:val="Balloon Text"/>
    <w:basedOn w:val="Normal"/>
    <w:link w:val="BalloonTextChar"/>
    <w:rsid w:val="00DE5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659"/>
    <w:pPr>
      <w:spacing w:before="0" w:after="0"/>
    </w:pPr>
  </w:style>
  <w:style w:type="paragraph" w:customStyle="1" w:styleId="BodyTextBold">
    <w:name w:val="Body Text Bold"/>
    <w:basedOn w:val="BodyText"/>
    <w:qFormat/>
    <w:rsid w:val="00DE5659"/>
    <w:rPr>
      <w:b/>
    </w:rPr>
  </w:style>
  <w:style w:type="character" w:styleId="Hyperlink">
    <w:name w:val="Hyperlink"/>
    <w:basedOn w:val="DefaultParagraphFont"/>
    <w:uiPriority w:val="99"/>
    <w:unhideWhenUsed/>
    <w:rsid w:val="003B0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3732</Characters>
  <Application>Microsoft Office Word</Application>
  <DocSecurity>0</DocSecurity>
  <Lines>109</Lines>
  <Paragraphs>94</Paragraphs>
  <ScaleCrop>false</ScaleCrop>
  <Company>Author-it Software Corporation Ltd.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MSFID4021 Design soft furnishing solutions for interior spaces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