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4BD3" w:rsidP="000B4B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MSFID4016 Design colour schemes for interior and exterior spaces</w:t>
      </w:r>
      <w:r>
        <w:fldChar w:fldCharType="end"/>
      </w:r>
    </w:p>
    <w:p w:rsidR="000B4BD3" w:rsidP="000B4BD3">
      <w:pPr>
        <w:pStyle w:val="Version"/>
        <w:sectPr w:rsidSect="00DF2C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2C06" w:rsidP="00DF2C06">
      <w:pPr>
        <w:pStyle w:val="SuperHeading"/>
      </w:pPr>
      <w:r w:rsidRPr="00DF2C06">
        <w:t>MSFID4016 Design colour schemes for interior and exterior spaces</w:t>
      </w:r>
    </w:p>
    <w:p w:rsidR="00000000" w:rsidRPr="00DF2C06" w:rsidP="00DF2C06">
      <w:pPr>
        <w:pStyle w:val="Heading1"/>
      </w:pPr>
      <w:bookmarkStart w:id="1" w:name="O_1014859"/>
      <w:bookmarkEnd w:id="1"/>
      <w:r w:rsidRPr="00DF2C06">
        <w:t>Modification History</w:t>
      </w:r>
    </w:p>
    <w:p w:rsidR="00000000" w:rsidRPr="00DF2C06" w:rsidP="000B4BD3">
      <w:pPr>
        <w:pStyle w:val="BodyText"/>
      </w:pPr>
      <w:r w:rsidRPr="00DF2C06">
        <w:t xml:space="preserve">Release 1. Supersedes and is not equivalent to MSFID4001 Research, analyse and apply colour for interior spaces. </w:t>
      </w:r>
    </w:p>
    <w:p w:rsidR="00000000" w:rsidRPr="00DF2C06" w:rsidP="00DF2C06">
      <w:pPr>
        <w:pStyle w:val="Heading1"/>
      </w:pPr>
      <w:bookmarkStart w:id="2" w:name="O_1014860"/>
      <w:bookmarkEnd w:id="2"/>
      <w:r w:rsidRPr="00DF2C06">
        <w:t>Application</w:t>
      </w:r>
    </w:p>
    <w:p w:rsidR="00000000" w:rsidRPr="00DF2C06" w:rsidP="000B4BD3">
      <w:pPr>
        <w:pStyle w:val="BodyText"/>
      </w:pPr>
      <w:r w:rsidRPr="00DF2C06">
        <w:t xml:space="preserve">This unit describes the skills and knowledge required to assess colour requirements, research and experiment with different colour options and create preferred colour schemes for presentation to the client. </w:t>
      </w:r>
    </w:p>
    <w:p w:rsidR="00000000" w:rsidRPr="00DF2C06" w:rsidP="000B4BD3">
      <w:pPr>
        <w:pStyle w:val="BodyText"/>
      </w:pPr>
      <w:r w:rsidRPr="00DF2C06">
        <w:t>This unit applies to interior decorators and des</w:t>
      </w:r>
      <w:r w:rsidRPr="00DF2C06">
        <w:t>igners.</w:t>
      </w:r>
    </w:p>
    <w:p w:rsidR="00000000" w:rsidRPr="00DF2C06" w:rsidP="000B4BD3">
      <w:pPr>
        <w:pStyle w:val="BodyText"/>
      </w:pPr>
      <w:r w:rsidRPr="00DF2C06">
        <w:t>No licensing or certification requirements exist at the time of publication. Relevant legislation, industry standards and codes of practice within Australia must be applied.</w:t>
      </w:r>
    </w:p>
    <w:p w:rsidR="00000000" w:rsidRPr="00DF2C06" w:rsidP="00DF2C06">
      <w:pPr>
        <w:pStyle w:val="Heading1"/>
      </w:pPr>
      <w:bookmarkStart w:id="3" w:name="O_1014861"/>
      <w:bookmarkEnd w:id="3"/>
      <w:r w:rsidRPr="00DF2C06">
        <w:t>Pre-requisite Unit</w:t>
      </w:r>
    </w:p>
    <w:p w:rsidR="00000000" w:rsidRPr="00DF2C06" w:rsidP="000B4BD3">
      <w:pPr>
        <w:pStyle w:val="BodyText"/>
      </w:pPr>
      <w:r w:rsidRPr="00DF2C06">
        <w:t>N/A</w:t>
      </w:r>
    </w:p>
    <w:p w:rsidR="00000000" w:rsidRPr="00DF2C06" w:rsidP="00DF2C06">
      <w:pPr>
        <w:pStyle w:val="Heading1"/>
      </w:pPr>
      <w:bookmarkStart w:id="4" w:name="O_1014863"/>
      <w:bookmarkEnd w:id="4"/>
      <w:r w:rsidRPr="00DF2C06">
        <w:t>Unit Sector</w:t>
      </w:r>
    </w:p>
    <w:p w:rsidR="00000000" w:rsidRPr="00DF2C06" w:rsidP="000B4BD3">
      <w:pPr>
        <w:pStyle w:val="BodyText"/>
      </w:pPr>
      <w:r w:rsidRPr="00DF2C06">
        <w:t>I</w:t>
      </w:r>
      <w:r w:rsidRPr="00DF2C06">
        <w:t>nterior Decoration and Design</w:t>
      </w:r>
    </w:p>
    <w:p w:rsidR="00000000" w:rsidRPr="00DF2C06" w:rsidP="00DF2C06">
      <w:pPr>
        <w:pStyle w:val="Heading1"/>
      </w:pPr>
      <w:bookmarkStart w:id="5" w:name="O_1014864"/>
      <w:bookmarkEnd w:id="5"/>
      <w:r w:rsidRPr="00DF2C0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0B4B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C06" w:rsidP="00DF2C06">
            <w:pPr>
              <w:pStyle w:val="BodyText"/>
            </w:pPr>
            <w:r w:rsidRPr="00DF2C06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C06">
            <w:pPr>
              <w:pStyle w:val="BodyText"/>
              <w:rPr>
                <w:lang w:val="en-NZ"/>
              </w:rPr>
            </w:pPr>
            <w:r w:rsidRPr="00DF2C06">
              <w:rPr>
                <w:rStyle w:val="SpecialBold"/>
              </w:rPr>
              <w:t>Performance Criteria</w:t>
            </w:r>
          </w:p>
        </w:tc>
      </w:tr>
      <w:tr w:rsidTr="000B4B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C06" w:rsidP="00DF2C06">
            <w:pPr>
              <w:pStyle w:val="BodyText"/>
            </w:pPr>
            <w:r w:rsidRPr="00DF2C06">
              <w:rPr>
                <w:rStyle w:val="Emphasis"/>
              </w:rPr>
              <w:t xml:space="preserve">Elements describe the </w:t>
            </w:r>
            <w:r w:rsidRPr="00DF2C06">
              <w:t xml:space="preserve">essential </w:t>
            </w:r>
            <w:r w:rsidRPr="00DF2C06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C06">
            <w:pPr>
              <w:pStyle w:val="BodyText"/>
              <w:rPr>
                <w:lang w:val="en-NZ"/>
              </w:rPr>
            </w:pPr>
            <w:r w:rsidRPr="00DF2C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4B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C06">
            <w:pPr>
              <w:pStyle w:val="BodyText"/>
              <w:rPr>
                <w:lang w:val="en-NZ"/>
              </w:rPr>
            </w:pPr>
            <w:r w:rsidRPr="00DF2C06">
              <w:t>1. Assess colour requirements for the project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C06" w:rsidP="00DF2C06">
            <w:pPr>
              <w:pStyle w:val="BodyText"/>
            </w:pPr>
            <w:r w:rsidRPr="00DF2C06">
              <w:t>1.1 Evaluate project specifications, parameters and constraints, and confirm with client</w:t>
            </w:r>
          </w:p>
          <w:p w:rsidR="00000000" w:rsidRPr="00DF2C06" w:rsidP="00DF2C06">
            <w:pPr>
              <w:pStyle w:val="BodyText"/>
            </w:pPr>
            <w:r w:rsidRPr="00DF2C06">
              <w:t xml:space="preserve">1.2 Select work resources based on the needs of the project </w:t>
            </w:r>
          </w:p>
          <w:p w:rsidR="00000000" w:rsidRPr="00DF2C06" w:rsidP="00DF2C06">
            <w:pPr>
              <w:pStyle w:val="BodyText"/>
            </w:pPr>
            <w:r w:rsidRPr="00DF2C06">
              <w:t xml:space="preserve">1.3 Identify and assess the space, its light and continuing </w:t>
            </w:r>
            <w:r w:rsidRPr="00DF2C06">
              <w:t>colours for impact on potential solutions</w:t>
            </w:r>
          </w:p>
          <w:p w:rsidR="00000000" w:rsidP="00DF2C06">
            <w:pPr>
              <w:pStyle w:val="BodyText"/>
              <w:rPr>
                <w:lang w:val="en-NZ"/>
              </w:rPr>
            </w:pPr>
            <w:r w:rsidRPr="00DF2C06">
              <w:t>1.4 Identify key project stakeholders and establish required communication protocols</w:t>
            </w:r>
          </w:p>
        </w:tc>
      </w:tr>
      <w:tr w:rsidTr="000B4B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C06">
            <w:pPr>
              <w:pStyle w:val="BodyText"/>
              <w:rPr>
                <w:lang w:val="en-NZ"/>
              </w:rPr>
            </w:pPr>
            <w:r w:rsidRPr="00DF2C06">
              <w:t>2. Research colour schemes for interiors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C06" w:rsidP="00DF2C06">
            <w:pPr>
              <w:pStyle w:val="BodyText"/>
            </w:pPr>
            <w:r w:rsidRPr="00DF2C06">
              <w:t xml:space="preserve">2.1 Research and analyse colour psychology in accordance with the needs of the project </w:t>
            </w:r>
          </w:p>
          <w:p w:rsidR="00000000" w:rsidRPr="00DF2C06" w:rsidP="00DF2C06">
            <w:pPr>
              <w:pStyle w:val="BodyText"/>
            </w:pPr>
            <w:r w:rsidRPr="00DF2C06">
              <w:t xml:space="preserve">2.2 Research and analyse cultural and historical influences on colour to inform the needs of the project </w:t>
            </w:r>
          </w:p>
          <w:p w:rsidR="00000000" w:rsidP="00DF2C06">
            <w:pPr>
              <w:pStyle w:val="BodyText"/>
              <w:rPr>
                <w:lang w:val="en-NZ"/>
              </w:rPr>
            </w:pPr>
            <w:r w:rsidRPr="00DF2C06">
              <w:t>2.3 Research and compile information on the impact of specific colours on the interior space</w:t>
            </w:r>
          </w:p>
        </w:tc>
      </w:tr>
      <w:tr w:rsidTr="000B4B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C06">
            <w:pPr>
              <w:pStyle w:val="BodyText"/>
              <w:rPr>
                <w:lang w:val="en-NZ"/>
              </w:rPr>
            </w:pPr>
            <w:r w:rsidRPr="00DF2C06">
              <w:t>3. Explore colour schemes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C06" w:rsidP="00DF2C06">
            <w:pPr>
              <w:pStyle w:val="BodyText"/>
            </w:pPr>
            <w:r w:rsidRPr="00DF2C06">
              <w:t xml:space="preserve">3.1 Use colour wheels to mix </w:t>
            </w:r>
            <w:r w:rsidRPr="00DF2C06">
              <w:t>and match alternative colour schemes to determine suitability of colours to a space</w:t>
            </w:r>
          </w:p>
          <w:p w:rsidR="00000000" w:rsidRPr="00DF2C06" w:rsidP="00DF2C06">
            <w:pPr>
              <w:pStyle w:val="BodyText"/>
            </w:pPr>
            <w:r w:rsidRPr="00DF2C06">
              <w:t>3.2 Explore the use of additive and subtractive colour mixing to inform colour selections</w:t>
            </w:r>
          </w:p>
          <w:p w:rsidR="00000000" w:rsidRPr="00DF2C06" w:rsidP="00DF2C06">
            <w:pPr>
              <w:pStyle w:val="BodyText"/>
            </w:pPr>
            <w:r w:rsidRPr="00DF2C06">
              <w:t>3.3 Explore and test colour systems and colour combinations and/or juxtapositions against the brief</w:t>
            </w:r>
          </w:p>
          <w:p w:rsidR="00000000" w:rsidRPr="00DF2C06" w:rsidP="00DF2C06">
            <w:pPr>
              <w:pStyle w:val="BodyText"/>
            </w:pPr>
            <w:r w:rsidRPr="00DF2C06">
              <w:t xml:space="preserve">3.4 Assess effect of light against the impact of colours being proposed for use </w:t>
            </w:r>
          </w:p>
          <w:p w:rsidR="00000000" w:rsidRPr="00DF2C06" w:rsidP="00DF2C06">
            <w:pPr>
              <w:pStyle w:val="BodyText"/>
            </w:pPr>
            <w:r w:rsidRPr="00DF2C06">
              <w:t>3.5 Assess visual perception of colours in accordance with the project brie</w:t>
            </w:r>
            <w:r w:rsidRPr="00DF2C06">
              <w:t xml:space="preserve">f </w:t>
            </w:r>
          </w:p>
          <w:p w:rsidR="00000000" w:rsidRPr="00DF2C06" w:rsidP="00DF2C06">
            <w:pPr>
              <w:pStyle w:val="BodyText"/>
            </w:pPr>
            <w:r w:rsidRPr="00DF2C06">
              <w:t xml:space="preserve">3.6 Match samples using colour mixing techniques </w:t>
            </w:r>
          </w:p>
          <w:p w:rsidR="00000000" w:rsidRPr="00DF2C06" w:rsidP="00DF2C06">
            <w:pPr>
              <w:pStyle w:val="BodyText"/>
            </w:pPr>
            <w:r w:rsidRPr="00DF2C06">
              <w:t>3.7 Evaluate colour effect perceptions by use of light to mix and throw coloured light onto surfaces</w:t>
            </w:r>
          </w:p>
          <w:p w:rsidR="00000000" w:rsidP="00DF2C06">
            <w:pPr>
              <w:pStyle w:val="BodyText"/>
              <w:rPr>
                <w:lang w:val="en-NZ"/>
              </w:rPr>
            </w:pPr>
            <w:r w:rsidRPr="00DF2C06">
              <w:t>3.8 Ascertain contrast and harmony of colours through selection of colours in accordance with the proj</w:t>
            </w:r>
            <w:r w:rsidRPr="00DF2C06">
              <w:t>ect brief</w:t>
            </w:r>
          </w:p>
        </w:tc>
      </w:tr>
      <w:tr w:rsidTr="000B4B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C06">
            <w:pPr>
              <w:pStyle w:val="BodyText"/>
              <w:rPr>
                <w:lang w:val="en-NZ"/>
              </w:rPr>
            </w:pPr>
            <w:r w:rsidRPr="00DF2C06">
              <w:t>4. Finalise and present colour scheme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C06" w:rsidP="00DF2C06">
            <w:pPr>
              <w:pStyle w:val="BodyText"/>
            </w:pPr>
            <w:r w:rsidRPr="00DF2C06">
              <w:t>4.1 Choose final selection of colours based on exploration and key objectives of the project brief</w:t>
            </w:r>
          </w:p>
          <w:p w:rsidR="00000000" w:rsidRPr="00DF2C06" w:rsidP="00DF2C06">
            <w:pPr>
              <w:pStyle w:val="BodyText"/>
            </w:pPr>
            <w:r w:rsidRPr="00DF2C06">
              <w:t>4.2 Prepare a visual representation that communicates the key aspects of the preferred solution using render</w:t>
            </w:r>
            <w:r w:rsidRPr="00DF2C06">
              <w:t>ing media suited to the project</w:t>
            </w:r>
          </w:p>
          <w:p w:rsidR="00000000" w:rsidRPr="00DF2C06" w:rsidP="00DF2C06">
            <w:pPr>
              <w:pStyle w:val="BodyText"/>
            </w:pPr>
            <w:r w:rsidRPr="00DF2C06">
              <w:t>4.3 Present recommendations in a format and level of detail suited to the client and scope of the project</w:t>
            </w:r>
          </w:p>
          <w:p w:rsidR="00000000" w:rsidRPr="00DF2C06" w:rsidP="00DF2C06">
            <w:pPr>
              <w:pStyle w:val="BodyText"/>
            </w:pPr>
            <w:r w:rsidRPr="00DF2C06">
              <w:t>4.4 Seek client feedback on the proposed solution</w:t>
            </w:r>
          </w:p>
          <w:p w:rsidR="00000000" w:rsidRPr="00DF2C06" w:rsidP="00DF2C06">
            <w:pPr>
              <w:pStyle w:val="BodyText"/>
            </w:pPr>
            <w:r w:rsidRPr="00DF2C06">
              <w:t>4.5 Make adjustments to the final design solution based on feedback</w:t>
            </w:r>
          </w:p>
          <w:p w:rsidR="00000000" w:rsidRPr="00DF2C06" w:rsidP="00DF2C06">
            <w:pPr>
              <w:pStyle w:val="BodyText"/>
            </w:pPr>
            <w:r w:rsidRPr="00DF2C06">
              <w:t>4.6 Accurately document selection specifications</w:t>
            </w:r>
          </w:p>
        </w:tc>
      </w:tr>
    </w:tbl>
    <w:p w:rsidR="00000000" w:rsidRPr="00DF2C06" w:rsidP="00DF2C06">
      <w:pPr>
        <w:pStyle w:val="BodyText"/>
      </w:pPr>
    </w:p>
    <w:p w:rsidR="00000000" w:rsidRPr="00DF2C06" w:rsidP="00DF2C06">
      <w:pPr>
        <w:pStyle w:val="AllowPageBreak"/>
      </w:pPr>
    </w:p>
    <w:p w:rsidR="00000000" w:rsidRPr="00DF2C06" w:rsidP="00DF2C06">
      <w:pPr>
        <w:pStyle w:val="Heading1"/>
      </w:pPr>
      <w:bookmarkStart w:id="6" w:name="O_1014865"/>
      <w:bookmarkEnd w:id="6"/>
      <w:r w:rsidRPr="00DF2C06">
        <w:t>Foundation Skills</w:t>
      </w:r>
    </w:p>
    <w:p w:rsidR="00000000" w:rsidRPr="00DF2C06" w:rsidP="000B4BD3">
      <w:pPr>
        <w:pStyle w:val="BodyText"/>
      </w:pPr>
      <w:r w:rsidRPr="00DF2C06">
        <w:t>The Foundation Skills describe those required skills (such as, language, literacy, numeracy and employment skills) that are essential to performance:</w:t>
      </w:r>
    </w:p>
    <w:p w:rsidR="00000000" w:rsidRPr="00DF2C06" w:rsidP="00DF2C06">
      <w:pPr>
        <w:pStyle w:val="ListBullet"/>
      </w:pPr>
      <w:r w:rsidRPr="00DF2C06">
        <w:t>technology skills</w:t>
      </w:r>
      <w:r w:rsidRPr="00DF2C06">
        <w:t xml:space="preserve"> to research colour information using digital media.</w:t>
      </w:r>
    </w:p>
    <w:p w:rsidR="000B4BD3" w:rsidP="000B4BD3">
      <w:pPr>
        <w:pStyle w:val="BodyText"/>
      </w:pPr>
      <w:r w:rsidRPr="00DF2C06">
        <w:t>Other foundation skills essential to performance are explicit in the performance criteria of this unit of competency.</w:t>
      </w:r>
    </w:p>
    <w:p w:rsidR="00000000" w:rsidRPr="00DF2C06" w:rsidP="00DF2C06">
      <w:pPr>
        <w:pStyle w:val="Heading1"/>
      </w:pPr>
      <w:bookmarkStart w:id="7" w:name="O_1014867"/>
      <w:bookmarkEnd w:id="7"/>
      <w:r w:rsidRPr="00DF2C06">
        <w:t>Unit Mapping Information</w:t>
      </w:r>
    </w:p>
    <w:p w:rsidR="00000000" w:rsidRPr="00DF2C06" w:rsidP="000B4BD3">
      <w:pPr>
        <w:pStyle w:val="BodyText"/>
      </w:pPr>
      <w:r w:rsidRPr="00DF2C06">
        <w:t>No equivalent unit.</w:t>
      </w:r>
    </w:p>
    <w:p w:rsidR="00000000" w:rsidRPr="00DF2C06" w:rsidP="00DF2C06">
      <w:pPr>
        <w:pStyle w:val="Heading1"/>
      </w:pPr>
      <w:bookmarkStart w:id="8" w:name="O_1014874"/>
      <w:bookmarkEnd w:id="8"/>
      <w:r w:rsidRPr="00DF2C06">
        <w:t>Links</w:t>
      </w:r>
    </w:p>
    <w:p w:rsidR="00000000" w:rsidRPr="00DF2C06" w:rsidP="000B4BD3">
      <w:pPr>
        <w:pStyle w:val="BodyText"/>
      </w:pPr>
      <w:r w:rsidRPr="00DF2C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3725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F2C06" w:rsidP="00DF2C06"/>
    <w:sectPr w:rsidSect="00DF2C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C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C06" w:rsidRPr="000B4BD3" w:rsidP="000B4B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C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BD3" w:rsidP="00DF2C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4BD3" w:rsidP="00DF2C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B4BD3" w:rsidP="00DF2C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C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B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2C06" w:rsidRPr="000B4BD3" w:rsidP="000B4B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C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BD3" w:rsidRPr="002D2AF8" w:rsidP="00DF2C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MSFID4016 Design colour schemes for interior and exterior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B4BD3" w:rsidP="00DF2C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CE87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58DC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C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2C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2C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2C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2C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2C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2C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2C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2C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2C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2C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2C06"/>
  </w:style>
  <w:style w:type="character" w:customStyle="1" w:styleId="Heading1Char">
    <w:name w:val="Heading 1 Char"/>
    <w:basedOn w:val="DefaultParagraphFont"/>
    <w:link w:val="Heading1"/>
    <w:rsid w:val="00DF2C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2C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2C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2C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2C06"/>
    <w:rPr>
      <w:b/>
      <w:spacing w:val="0"/>
    </w:rPr>
  </w:style>
  <w:style w:type="character" w:styleId="Emphasis">
    <w:name w:val="Emphasis"/>
    <w:basedOn w:val="DefaultParagraphFont"/>
    <w:qFormat/>
    <w:rsid w:val="00DF2C06"/>
    <w:rPr>
      <w:i/>
    </w:rPr>
  </w:style>
  <w:style w:type="paragraph" w:customStyle="1" w:styleId="SuperHeading">
    <w:name w:val="SuperHeading"/>
    <w:basedOn w:val="Normal"/>
    <w:rsid w:val="00DF2C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2C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2C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2C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2C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2C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2C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2C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2C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2C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2C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2C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2C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2C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2C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2C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2C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2C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2C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2C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2C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2C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2C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2C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2C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2C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2C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2C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2C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2C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2C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2C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2C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2C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2C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2C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2C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2C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2C06"/>
  </w:style>
  <w:style w:type="paragraph" w:styleId="TableofFigures">
    <w:name w:val="table of figures"/>
    <w:basedOn w:val="Normal"/>
    <w:next w:val="Normal"/>
    <w:semiHidden/>
    <w:rsid w:val="00DF2C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2C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2C06"/>
    <w:rPr>
      <w:rFonts w:ascii="Wingdings" w:hAnsi="Wingdings"/>
    </w:rPr>
  </w:style>
  <w:style w:type="paragraph" w:customStyle="1" w:styleId="TableHeading">
    <w:name w:val="Table Heading"/>
    <w:basedOn w:val="HeadingBase"/>
    <w:rsid w:val="00DF2C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2C06"/>
    <w:rPr>
      <w:color w:val="0033CC"/>
      <w:u w:val="none"/>
    </w:rPr>
  </w:style>
  <w:style w:type="paragraph" w:customStyle="1" w:styleId="BodyTextRight">
    <w:name w:val="Body Text Right"/>
    <w:basedOn w:val="BodyText"/>
    <w:rsid w:val="00DF2C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2C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2C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2C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2C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2C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2C06"/>
    <w:rPr>
      <w:sz w:val="32"/>
    </w:rPr>
  </w:style>
  <w:style w:type="paragraph" w:customStyle="1" w:styleId="HeadingProcedure">
    <w:name w:val="Heading Procedure"/>
    <w:basedOn w:val="HeadingBase"/>
    <w:next w:val="Normal"/>
    <w:rsid w:val="00DF2C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2C06"/>
    <w:pPr>
      <w:spacing w:before="60" w:after="60"/>
    </w:pPr>
  </w:style>
  <w:style w:type="paragraph" w:styleId="ListContinue">
    <w:name w:val="List Continue"/>
    <w:basedOn w:val="List"/>
    <w:rsid w:val="00DF2C06"/>
    <w:pPr>
      <w:ind w:firstLine="0"/>
    </w:pPr>
  </w:style>
  <w:style w:type="paragraph" w:customStyle="1" w:styleId="ListNote">
    <w:name w:val="List Note"/>
    <w:basedOn w:val="List"/>
    <w:rsid w:val="00DF2C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2C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2C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2C06"/>
    <w:rPr>
      <w:rFonts w:ascii="Courier New" w:hAnsi="Courier New"/>
    </w:rPr>
  </w:style>
  <w:style w:type="paragraph" w:customStyle="1" w:styleId="NoteBullet">
    <w:name w:val="Note Bullet"/>
    <w:basedOn w:val="Note"/>
    <w:rsid w:val="00DF2C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2C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2C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2C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2C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2C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2C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2C06"/>
    <w:rPr>
      <w:b/>
      <w:smallCaps/>
    </w:rPr>
  </w:style>
  <w:style w:type="paragraph" w:customStyle="1" w:styleId="TableListNumber">
    <w:name w:val="Table List Number"/>
    <w:basedOn w:val="ListNumber"/>
    <w:rsid w:val="00DF2C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2C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2C06"/>
    <w:pPr>
      <w:numPr>
        <w:numId w:val="8"/>
      </w:numPr>
    </w:pPr>
  </w:style>
  <w:style w:type="paragraph" w:customStyle="1" w:styleId="ListAlpha2">
    <w:name w:val="List Alpha 2"/>
    <w:basedOn w:val="List2"/>
    <w:rsid w:val="00DF2C06"/>
    <w:pPr>
      <w:numPr>
        <w:numId w:val="7"/>
      </w:numPr>
    </w:pPr>
  </w:style>
  <w:style w:type="paragraph" w:styleId="List2">
    <w:name w:val="List 2"/>
    <w:basedOn w:val="BodyText"/>
    <w:rsid w:val="00DF2C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2C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2C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2C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2C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2C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2C06"/>
    <w:pPr>
      <w:numPr>
        <w:numId w:val="3"/>
      </w:numPr>
    </w:pPr>
  </w:style>
  <w:style w:type="paragraph" w:styleId="ListContinue2">
    <w:name w:val="List Continue 2"/>
    <w:basedOn w:val="List2"/>
    <w:rsid w:val="00DF2C06"/>
    <w:pPr>
      <w:ind w:firstLine="0"/>
    </w:pPr>
  </w:style>
  <w:style w:type="paragraph" w:styleId="ListContinue3">
    <w:name w:val="List Continue 3"/>
    <w:basedOn w:val="List3"/>
    <w:rsid w:val="00DF2C06"/>
    <w:pPr>
      <w:ind w:left="1021" w:firstLine="0"/>
    </w:pPr>
  </w:style>
  <w:style w:type="paragraph" w:styleId="ListContinue4">
    <w:name w:val="List Continue 4"/>
    <w:basedOn w:val="List4"/>
    <w:rsid w:val="00DF2C06"/>
    <w:pPr>
      <w:ind w:firstLine="0"/>
    </w:pPr>
  </w:style>
  <w:style w:type="paragraph" w:styleId="ListContinue5">
    <w:name w:val="List Continue 5"/>
    <w:basedOn w:val="List5"/>
    <w:rsid w:val="00DF2C06"/>
    <w:pPr>
      <w:ind w:firstLine="0"/>
    </w:pPr>
  </w:style>
  <w:style w:type="paragraph" w:styleId="ListNumber3">
    <w:name w:val="List Number 3"/>
    <w:basedOn w:val="List3"/>
    <w:rsid w:val="00DF2C06"/>
    <w:pPr>
      <w:numPr>
        <w:numId w:val="4"/>
      </w:numPr>
    </w:pPr>
  </w:style>
  <w:style w:type="paragraph" w:styleId="ListNumber4">
    <w:name w:val="List Number 4"/>
    <w:basedOn w:val="List4"/>
    <w:rsid w:val="00DF2C06"/>
    <w:pPr>
      <w:numPr>
        <w:numId w:val="5"/>
      </w:numPr>
    </w:pPr>
  </w:style>
  <w:style w:type="paragraph" w:styleId="ListNumber5">
    <w:name w:val="List Number 5"/>
    <w:basedOn w:val="List5"/>
    <w:rsid w:val="00DF2C06"/>
    <w:pPr>
      <w:numPr>
        <w:numId w:val="6"/>
      </w:numPr>
    </w:pPr>
  </w:style>
  <w:style w:type="paragraph" w:styleId="BlockText">
    <w:name w:val="Block Text"/>
    <w:basedOn w:val="Normal"/>
    <w:rsid w:val="00DF2C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2C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2C06"/>
    <w:rPr>
      <w:sz w:val="16"/>
      <w:vertAlign w:val="superscript"/>
    </w:rPr>
  </w:style>
  <w:style w:type="character" w:customStyle="1" w:styleId="Symbols">
    <w:name w:val="Symbols"/>
    <w:basedOn w:val="DefaultParagraphFont"/>
    <w:rsid w:val="00DF2C06"/>
    <w:rPr>
      <w:rFonts w:ascii="Symbol" w:hAnsi="Symbol"/>
    </w:rPr>
  </w:style>
  <w:style w:type="character" w:customStyle="1" w:styleId="MenuOptions">
    <w:name w:val="Menu Options"/>
    <w:basedOn w:val="DefaultParagraphFont"/>
    <w:rsid w:val="00DF2C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2C06"/>
    <w:rPr>
      <w:b/>
    </w:rPr>
  </w:style>
  <w:style w:type="character" w:customStyle="1" w:styleId="Underlined">
    <w:name w:val="Underlined"/>
    <w:basedOn w:val="DefaultParagraphFont"/>
    <w:rsid w:val="00DF2C06"/>
    <w:rPr>
      <w:u w:val="single"/>
    </w:rPr>
  </w:style>
  <w:style w:type="paragraph" w:customStyle="1" w:styleId="TableBodyTextRight">
    <w:name w:val="Table Body Text Right"/>
    <w:basedOn w:val="TableBodyText"/>
    <w:rsid w:val="00DF2C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2C06"/>
    <w:rPr>
      <w:sz w:val="18"/>
    </w:rPr>
  </w:style>
  <w:style w:type="paragraph" w:customStyle="1" w:styleId="BodySmallRight">
    <w:name w:val="Body Small Right"/>
    <w:basedOn w:val="BodyTextRight"/>
    <w:rsid w:val="00DF2C06"/>
    <w:rPr>
      <w:sz w:val="18"/>
      <w:szCs w:val="18"/>
    </w:rPr>
  </w:style>
  <w:style w:type="paragraph" w:customStyle="1" w:styleId="MarginEdition">
    <w:name w:val="Margin Edition"/>
    <w:basedOn w:val="MarginNote"/>
    <w:rsid w:val="00DF2C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2C06"/>
    <w:rPr>
      <w:sz w:val="2"/>
      <w:szCs w:val="2"/>
    </w:rPr>
  </w:style>
  <w:style w:type="character" w:customStyle="1" w:styleId="Small">
    <w:name w:val="Small"/>
    <w:basedOn w:val="DefaultParagraphFont"/>
    <w:rsid w:val="00DF2C06"/>
    <w:rPr>
      <w:sz w:val="16"/>
    </w:rPr>
  </w:style>
  <w:style w:type="paragraph" w:customStyle="1" w:styleId="WideTable">
    <w:name w:val="Wide Table"/>
    <w:basedOn w:val="Normal"/>
    <w:rsid w:val="00DF2C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2C06"/>
  </w:style>
  <w:style w:type="paragraph" w:styleId="Quote">
    <w:name w:val="Quote"/>
    <w:basedOn w:val="Heading1"/>
    <w:link w:val="QuoteChar"/>
    <w:qFormat/>
    <w:rsid w:val="00DF2C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2C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2C06"/>
    <w:pPr>
      <w:pageBreakBefore/>
    </w:pPr>
  </w:style>
  <w:style w:type="paragraph" w:customStyle="1" w:styleId="Border">
    <w:name w:val="Border"/>
    <w:basedOn w:val="Normal"/>
    <w:qFormat/>
    <w:rsid w:val="00DF2C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2C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2C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2C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2C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2C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2C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2C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2C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2C06"/>
    <w:rPr>
      <w:u w:val="single"/>
    </w:rPr>
  </w:style>
  <w:style w:type="character" w:customStyle="1" w:styleId="BoldandItalics">
    <w:name w:val="Bold and Italics"/>
    <w:qFormat/>
    <w:rsid w:val="00DF2C06"/>
    <w:rPr>
      <w:b/>
      <w:i/>
      <w:u w:val="none"/>
    </w:rPr>
  </w:style>
  <w:style w:type="paragraph" w:styleId="BalloonText">
    <w:name w:val="Balloon Text"/>
    <w:basedOn w:val="Normal"/>
    <w:link w:val="BalloonTextChar"/>
    <w:rsid w:val="00DF2C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2C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2C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2C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2C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2C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2C06"/>
    <w:pPr>
      <w:spacing w:before="0" w:after="0"/>
    </w:pPr>
  </w:style>
  <w:style w:type="paragraph" w:customStyle="1" w:styleId="BodyTextBold">
    <w:name w:val="Body Text Bold"/>
    <w:basedOn w:val="BodyText"/>
    <w:qFormat/>
    <w:rsid w:val="00DF2C06"/>
    <w:rPr>
      <w:b/>
    </w:rPr>
  </w:style>
  <w:style w:type="character" w:styleId="Hyperlink">
    <w:name w:val="Hyperlink"/>
    <w:basedOn w:val="DefaultParagraphFont"/>
    <w:uiPriority w:val="99"/>
    <w:unhideWhenUsed/>
    <w:rsid w:val="000B4B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</Words>
  <Characters>3201</Characters>
  <Application>Microsoft Office Word</Application>
  <DocSecurity>0</DocSecurity>
  <Lines>97</Lines>
  <Paragraphs>62</Paragraphs>
  <ScaleCrop>false</ScaleCrop>
  <Company>Author-it Software Corporation Ltd.</Company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MSFID4016 Design colour schemes for interior and exterior spaces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2024-12-24T01:10:00Z</dcterms:created>
  <dcterms:modified xsi:type="dcterms:W3CDTF">2024-12-24T01:10:00Z</dcterms:modified>
</cp:coreProperties>
</file>