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22F" w:rsidP="00AE7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MSFID4016 Design colour schemes for interior and exterior spaces</w:t>
      </w:r>
      <w:r>
        <w:fldChar w:fldCharType="end"/>
      </w:r>
    </w:p>
    <w:p w:rsidR="00AE722F" w:rsidP="00AE722F">
      <w:pPr>
        <w:pStyle w:val="Version"/>
        <w:sectPr w:rsidSect="00B93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8BE" w:rsidP="00B938BE">
      <w:pPr>
        <w:pStyle w:val="SuperHeading"/>
      </w:pPr>
      <w:r w:rsidRPr="00B938BE">
        <w:t>MSFID4016 Design colour schemes for interior and exterior spaces</w:t>
      </w:r>
    </w:p>
    <w:p w:rsidR="00000000" w:rsidRPr="00B938BE" w:rsidP="00B938BE">
      <w:pPr>
        <w:pStyle w:val="Heading1"/>
      </w:pPr>
      <w:bookmarkStart w:id="1" w:name="O_1014859"/>
      <w:bookmarkEnd w:id="1"/>
      <w:r w:rsidRPr="00B938BE">
        <w:t>Modification History</w:t>
      </w:r>
    </w:p>
    <w:p w:rsidR="00000000" w:rsidRPr="00B938BE" w:rsidP="00AE722F">
      <w:pPr>
        <w:pStyle w:val="BodyText"/>
      </w:pPr>
      <w:r w:rsidRPr="00B938BE">
        <w:t xml:space="preserve">Release 1. Supersedes and is not equivalent to MSFID4001 Research, analyse and apply colour for interior spaces. </w:t>
      </w:r>
    </w:p>
    <w:p w:rsidR="00000000" w:rsidRPr="00B938BE" w:rsidP="00B938BE">
      <w:pPr>
        <w:pStyle w:val="Heading1"/>
      </w:pPr>
      <w:bookmarkStart w:id="2" w:name="O_1014860"/>
      <w:bookmarkEnd w:id="2"/>
      <w:r w:rsidRPr="00B938BE">
        <w:t>Application</w:t>
      </w:r>
    </w:p>
    <w:p w:rsidR="00000000" w:rsidRPr="00B938BE" w:rsidP="00AE722F">
      <w:pPr>
        <w:pStyle w:val="BodyText"/>
      </w:pPr>
      <w:r w:rsidRPr="00B938BE">
        <w:t xml:space="preserve">This unit describes the skills and knowledge required to assess colour requirements, research and experiment with different colour options and create preferred colour schemes for presentation to the client. </w:t>
      </w:r>
    </w:p>
    <w:p w:rsidR="00000000" w:rsidRPr="00B938BE" w:rsidP="00AE722F">
      <w:pPr>
        <w:pStyle w:val="BodyText"/>
      </w:pPr>
      <w:r w:rsidRPr="00B938BE">
        <w:t>This unit applies to interior decorators and des</w:t>
      </w:r>
      <w:r w:rsidRPr="00B938BE">
        <w:t>igners.</w:t>
      </w:r>
    </w:p>
    <w:p w:rsidR="00000000" w:rsidRPr="00B938BE" w:rsidP="00AE722F">
      <w:pPr>
        <w:pStyle w:val="BodyText"/>
      </w:pPr>
      <w:r w:rsidRPr="00B938BE">
        <w:t>No licensing or certification requirements exist at the time of publication. Relevant legislation, industry standards and codes of practice within Australia must be applied.</w:t>
      </w:r>
    </w:p>
    <w:p w:rsidR="00000000" w:rsidRPr="00B938BE" w:rsidP="00B938BE">
      <w:pPr>
        <w:pStyle w:val="Heading1"/>
      </w:pPr>
      <w:bookmarkStart w:id="3" w:name="O_1014861"/>
      <w:bookmarkEnd w:id="3"/>
      <w:r w:rsidRPr="00B938BE">
        <w:t>Pre-requisite Unit</w:t>
      </w:r>
    </w:p>
    <w:p w:rsidR="00000000" w:rsidRPr="00B938BE" w:rsidP="00AE722F">
      <w:pPr>
        <w:pStyle w:val="BodyText"/>
      </w:pPr>
      <w:r w:rsidRPr="00B938BE">
        <w:t>N/A</w:t>
      </w:r>
    </w:p>
    <w:p w:rsidR="00000000" w:rsidRPr="00B938BE" w:rsidP="00B938BE">
      <w:pPr>
        <w:pStyle w:val="Heading1"/>
      </w:pPr>
      <w:bookmarkStart w:id="4" w:name="O_1014863"/>
      <w:bookmarkEnd w:id="4"/>
      <w:r w:rsidRPr="00B938BE">
        <w:t>Unit Sector</w:t>
      </w:r>
    </w:p>
    <w:p w:rsidR="00000000" w:rsidRPr="00B938BE" w:rsidP="00AE722F">
      <w:pPr>
        <w:pStyle w:val="BodyText"/>
      </w:pPr>
      <w:r w:rsidRPr="00B938BE">
        <w:t>I</w:t>
      </w:r>
      <w:r w:rsidRPr="00B938BE">
        <w:t>nterior Decoration and Design</w:t>
      </w:r>
    </w:p>
    <w:p w:rsidR="00000000" w:rsidRPr="00B938BE" w:rsidP="00B938BE">
      <w:pPr>
        <w:pStyle w:val="Heading1"/>
      </w:pPr>
      <w:bookmarkStart w:id="5" w:name="O_1014864"/>
      <w:bookmarkEnd w:id="5"/>
      <w:r w:rsidRPr="00B938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AE7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8BE" w:rsidP="00B938BE">
            <w:pPr>
              <w:pStyle w:val="BodyText"/>
            </w:pPr>
            <w:r w:rsidRPr="00B938B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rPr>
                <w:rStyle w:val="SpecialBold"/>
              </w:rPr>
              <w:t>Performance Criteria</w:t>
            </w:r>
          </w:p>
        </w:tc>
      </w:tr>
      <w:tr w:rsidTr="00AE7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8BE" w:rsidP="00B938BE">
            <w:pPr>
              <w:pStyle w:val="BodyText"/>
            </w:pPr>
            <w:r w:rsidRPr="00B938BE">
              <w:rPr>
                <w:rStyle w:val="Emphasis"/>
              </w:rPr>
              <w:t xml:space="preserve">Elements describe the </w:t>
            </w:r>
            <w:r w:rsidRPr="00B938BE">
              <w:t xml:space="preserve">essential </w:t>
            </w:r>
            <w:r w:rsidRPr="00B938B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7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t>1. Assess colour requirements for the project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8BE" w:rsidP="00B938BE">
            <w:pPr>
              <w:pStyle w:val="BodyText"/>
            </w:pPr>
            <w:r w:rsidRPr="00B938BE">
              <w:t>1.1 Evaluate project specifications, parameters and constraints, and confirm with client</w:t>
            </w:r>
          </w:p>
          <w:p w:rsidR="00000000" w:rsidRPr="00B938BE" w:rsidP="00B938BE">
            <w:pPr>
              <w:pStyle w:val="BodyText"/>
            </w:pPr>
            <w:r w:rsidRPr="00B938BE">
              <w:t xml:space="preserve">1.2 Select work resources based on the needs of the project </w:t>
            </w:r>
          </w:p>
          <w:p w:rsidR="00000000" w:rsidRPr="00B938BE" w:rsidP="00B938BE">
            <w:pPr>
              <w:pStyle w:val="BodyText"/>
            </w:pPr>
            <w:r w:rsidRPr="00B938BE">
              <w:t xml:space="preserve">1.3 Identify and assess the space, its light and continuing </w:t>
            </w:r>
            <w:r w:rsidRPr="00B938BE">
              <w:t>colours for impact on potential solutions</w:t>
            </w:r>
          </w:p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t>1.4 Identify key project stakeholders and establish required communication protocols</w:t>
            </w:r>
          </w:p>
        </w:tc>
      </w:tr>
      <w:tr w:rsidTr="00AE7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t>2. Research colour schemes for interiors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8BE" w:rsidP="00B938BE">
            <w:pPr>
              <w:pStyle w:val="BodyText"/>
            </w:pPr>
            <w:r w:rsidRPr="00B938BE">
              <w:t xml:space="preserve">2.1 Research and analyse colour psychology in accordance with the needs of the project </w:t>
            </w:r>
          </w:p>
          <w:p w:rsidR="00000000" w:rsidRPr="00B938BE" w:rsidP="00B938BE">
            <w:pPr>
              <w:pStyle w:val="BodyText"/>
            </w:pPr>
            <w:r w:rsidRPr="00B938BE">
              <w:t xml:space="preserve">2.2 Research and analyse cultural and historical influences on colour to inform the needs of the project </w:t>
            </w:r>
          </w:p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t>2.3 Research and compile information on the impact of specific colours on the interior space</w:t>
            </w:r>
          </w:p>
        </w:tc>
      </w:tr>
      <w:tr w:rsidTr="00AE7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t>3. Explore colour schemes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8BE" w:rsidP="00B938BE">
            <w:pPr>
              <w:pStyle w:val="BodyText"/>
            </w:pPr>
            <w:r w:rsidRPr="00B938BE">
              <w:t xml:space="preserve">3.1 Use colour wheels to mix </w:t>
            </w:r>
            <w:r w:rsidRPr="00B938BE">
              <w:t>and match alternative colour schemes to determine suitability of colours to a space</w:t>
            </w:r>
          </w:p>
          <w:p w:rsidR="00000000" w:rsidRPr="00B938BE" w:rsidP="00B938BE">
            <w:pPr>
              <w:pStyle w:val="BodyText"/>
            </w:pPr>
            <w:r w:rsidRPr="00B938BE">
              <w:t>3.2 Explore the use of additive and subtractive colour mixing to inform colour selections</w:t>
            </w:r>
          </w:p>
          <w:p w:rsidR="00000000" w:rsidRPr="00B938BE" w:rsidP="00B938BE">
            <w:pPr>
              <w:pStyle w:val="BodyText"/>
            </w:pPr>
            <w:r w:rsidRPr="00B938BE">
              <w:t>3.3 Explore and test colour systems and colour combinations and/or juxtapositions against the brief</w:t>
            </w:r>
          </w:p>
          <w:p w:rsidR="00000000" w:rsidRPr="00B938BE" w:rsidP="00B938BE">
            <w:pPr>
              <w:pStyle w:val="BodyText"/>
            </w:pPr>
            <w:r w:rsidRPr="00B938BE">
              <w:t xml:space="preserve">3.4 Assess effect of light against the impact of colours being proposed for use </w:t>
            </w:r>
          </w:p>
          <w:p w:rsidR="00000000" w:rsidRPr="00B938BE" w:rsidP="00B938BE">
            <w:pPr>
              <w:pStyle w:val="BodyText"/>
            </w:pPr>
            <w:r w:rsidRPr="00B938BE">
              <w:t>3.5 Assess visual perception of colours in accordance with the project brie</w:t>
            </w:r>
            <w:r w:rsidRPr="00B938BE">
              <w:t xml:space="preserve">f </w:t>
            </w:r>
          </w:p>
          <w:p w:rsidR="00000000" w:rsidRPr="00B938BE" w:rsidP="00B938BE">
            <w:pPr>
              <w:pStyle w:val="BodyText"/>
            </w:pPr>
            <w:r w:rsidRPr="00B938BE">
              <w:t xml:space="preserve">3.6 Match samples using colour mixing techniques </w:t>
            </w:r>
          </w:p>
          <w:p w:rsidR="00000000" w:rsidRPr="00B938BE" w:rsidP="00B938BE">
            <w:pPr>
              <w:pStyle w:val="BodyText"/>
            </w:pPr>
            <w:r w:rsidRPr="00B938BE">
              <w:t>3.7 Evaluate colour effect perceptions by use of light to mix and throw coloured light onto surfaces</w:t>
            </w:r>
          </w:p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t>3.8 Ascertain contrast and harmony of colours through selection of colours in accordance with the proj</w:t>
            </w:r>
            <w:r w:rsidRPr="00B938BE">
              <w:t>ect brief</w:t>
            </w:r>
          </w:p>
        </w:tc>
      </w:tr>
      <w:tr w:rsidTr="00AE7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8BE">
            <w:pPr>
              <w:pStyle w:val="BodyText"/>
              <w:rPr>
                <w:lang w:val="en-NZ"/>
              </w:rPr>
            </w:pPr>
            <w:r w:rsidRPr="00B938BE">
              <w:t>4. Finalise and present colour scheme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8BE" w:rsidP="00B938BE">
            <w:pPr>
              <w:pStyle w:val="BodyText"/>
            </w:pPr>
            <w:r w:rsidRPr="00B938BE">
              <w:t>4.1 Choose final selection of colours based on exploration and key objectives of the project brief</w:t>
            </w:r>
          </w:p>
          <w:p w:rsidR="00000000" w:rsidRPr="00B938BE" w:rsidP="00B938BE">
            <w:pPr>
              <w:pStyle w:val="BodyText"/>
            </w:pPr>
            <w:r w:rsidRPr="00B938BE">
              <w:t>4.2 Prepare a visual representation that communicates the key aspects of the preferred solution using render</w:t>
            </w:r>
            <w:r w:rsidRPr="00B938BE">
              <w:t>ing media suited to the project</w:t>
            </w:r>
          </w:p>
          <w:p w:rsidR="00000000" w:rsidRPr="00B938BE" w:rsidP="00B938BE">
            <w:pPr>
              <w:pStyle w:val="BodyText"/>
            </w:pPr>
            <w:r w:rsidRPr="00B938BE">
              <w:t>4.3 Present recommendations in a format and level of detail suited to the client and scope of the project</w:t>
            </w:r>
          </w:p>
          <w:p w:rsidR="00000000" w:rsidRPr="00B938BE" w:rsidP="00B938BE">
            <w:pPr>
              <w:pStyle w:val="BodyText"/>
            </w:pPr>
            <w:r w:rsidRPr="00B938BE">
              <w:t>4.4 Seek client feedback on the proposed solution</w:t>
            </w:r>
          </w:p>
          <w:p w:rsidR="00000000" w:rsidRPr="00B938BE" w:rsidP="00B938BE">
            <w:pPr>
              <w:pStyle w:val="BodyText"/>
            </w:pPr>
            <w:r w:rsidRPr="00B938BE">
              <w:t>4.5 Make adjustments to the final design solution based on feedback</w:t>
            </w:r>
          </w:p>
          <w:p w:rsidR="00000000" w:rsidRPr="00B938BE" w:rsidP="00B938BE">
            <w:pPr>
              <w:pStyle w:val="BodyText"/>
            </w:pPr>
            <w:r w:rsidRPr="00B938BE">
              <w:t>4.6 Accurately document selection specifications</w:t>
            </w:r>
          </w:p>
        </w:tc>
      </w:tr>
    </w:tbl>
    <w:p w:rsidR="00000000" w:rsidRPr="00B938BE" w:rsidP="00B938BE">
      <w:pPr>
        <w:pStyle w:val="BodyText"/>
      </w:pPr>
    </w:p>
    <w:p w:rsidR="00000000" w:rsidRPr="00B938BE" w:rsidP="00B938BE">
      <w:pPr>
        <w:pStyle w:val="AllowPageBreak"/>
      </w:pPr>
    </w:p>
    <w:p w:rsidR="00000000" w:rsidRPr="00B938BE" w:rsidP="00B938BE">
      <w:pPr>
        <w:pStyle w:val="Heading1"/>
      </w:pPr>
      <w:bookmarkStart w:id="6" w:name="O_1014865"/>
      <w:bookmarkEnd w:id="6"/>
      <w:r w:rsidRPr="00B938BE">
        <w:t>Foundation Skills</w:t>
      </w:r>
    </w:p>
    <w:p w:rsidR="00000000" w:rsidRPr="00B938BE" w:rsidP="00AE722F">
      <w:pPr>
        <w:pStyle w:val="BodyText"/>
      </w:pPr>
      <w:r w:rsidRPr="00B938BE">
        <w:t>The Foundation Skills describe those required skills (such as, language, literacy, numeracy and employment skills) that are essential to performance:</w:t>
      </w:r>
    </w:p>
    <w:p w:rsidR="00000000" w:rsidRPr="00B938BE" w:rsidP="00B938BE">
      <w:pPr>
        <w:pStyle w:val="ListBullet"/>
      </w:pPr>
      <w:r w:rsidRPr="00B938BE">
        <w:t>technology skills</w:t>
      </w:r>
      <w:r w:rsidRPr="00B938BE">
        <w:t xml:space="preserve"> to research colour information using digital media.</w:t>
      </w:r>
    </w:p>
    <w:p w:rsidR="00AE722F" w:rsidP="00AE722F">
      <w:pPr>
        <w:pStyle w:val="BodyText"/>
      </w:pPr>
      <w:r w:rsidRPr="00B938BE">
        <w:t>Other foundation skills essential to performance are explicit in the performance criteria of this unit of competency.</w:t>
      </w:r>
    </w:p>
    <w:p w:rsidR="00000000" w:rsidRPr="00B938BE" w:rsidP="00B938BE">
      <w:pPr>
        <w:pStyle w:val="Heading1"/>
      </w:pPr>
      <w:bookmarkStart w:id="7" w:name="O_1014867"/>
      <w:bookmarkEnd w:id="7"/>
      <w:r w:rsidRPr="00B938BE">
        <w:t>Unit Mapping Information</w:t>
      </w:r>
    </w:p>
    <w:p w:rsidR="00000000" w:rsidRPr="00B938BE" w:rsidP="00AE722F">
      <w:pPr>
        <w:pStyle w:val="BodyText"/>
      </w:pPr>
      <w:r w:rsidRPr="00B938BE">
        <w:t>No equivalent unit.</w:t>
      </w:r>
    </w:p>
    <w:p w:rsidR="00000000" w:rsidRPr="00B938BE" w:rsidP="00B938BE">
      <w:pPr>
        <w:pStyle w:val="Heading1"/>
      </w:pPr>
      <w:bookmarkStart w:id="8" w:name="O_1014874"/>
      <w:bookmarkEnd w:id="8"/>
      <w:r w:rsidRPr="00B938BE">
        <w:t>Links</w:t>
      </w:r>
    </w:p>
    <w:p w:rsidR="00000000" w:rsidRPr="00B938BE" w:rsidP="00AE722F">
      <w:pPr>
        <w:pStyle w:val="BodyText"/>
      </w:pPr>
      <w:r w:rsidRPr="00B93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3444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938BE" w:rsidP="00AE722F">
      <w:pPr>
        <w:pStyle w:val="BodyText"/>
        <w:sectPr w:rsidSect="00B938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8BE" w:rsidP="00B938BE">
      <w:pPr>
        <w:pStyle w:val="SuperHeading"/>
      </w:pPr>
      <w:r w:rsidRPr="00B938BE">
        <w:t>Assessment Requirements for MSFID4016 Design colour schem</w:t>
      </w:r>
      <w:r w:rsidRPr="00B938BE">
        <w:t>es for interior and exterior spaces</w:t>
      </w:r>
    </w:p>
    <w:p w:rsidR="00000000" w:rsidRPr="00B938BE" w:rsidP="00B938BE">
      <w:pPr>
        <w:pStyle w:val="Heading1"/>
      </w:pPr>
      <w:bookmarkStart w:id="9" w:name="O_1014869"/>
      <w:bookmarkEnd w:id="9"/>
      <w:r w:rsidRPr="00B938BE">
        <w:t>Modification History</w:t>
      </w:r>
    </w:p>
    <w:p w:rsidR="00AE722F" w:rsidP="00AE722F">
      <w:pPr>
        <w:pStyle w:val="BodyText"/>
      </w:pPr>
      <w:r w:rsidRPr="00B938BE">
        <w:t xml:space="preserve">Release 1. Supersedes and is not equivalent to MSFID4001 Research, analyse and apply colour for interior spaces. </w:t>
      </w:r>
    </w:p>
    <w:p w:rsidR="00000000" w:rsidRPr="00B938BE" w:rsidP="00B938BE">
      <w:pPr>
        <w:pStyle w:val="Heading1"/>
      </w:pPr>
      <w:bookmarkStart w:id="10" w:name="O_1014870"/>
      <w:bookmarkEnd w:id="10"/>
      <w:r w:rsidRPr="00B938BE">
        <w:t>Performance Evidence</w:t>
      </w:r>
    </w:p>
    <w:p w:rsidR="00000000" w:rsidRPr="00B938BE" w:rsidP="00AE722F">
      <w:pPr>
        <w:pStyle w:val="BodyText"/>
      </w:pPr>
      <w:r w:rsidRPr="00B938BE">
        <w:t>There must be evidence the</w:t>
      </w:r>
      <w:r w:rsidRPr="00B938BE">
        <w:t xml:space="preserve"> candidate has completed the tasks outlined in the elements and performance criteria of this unit, and: </w:t>
      </w:r>
    </w:p>
    <w:p w:rsidR="00000000" w:rsidRPr="00B938BE" w:rsidP="00B938BE">
      <w:pPr>
        <w:pStyle w:val="ListBullet"/>
      </w:pPr>
      <w:r w:rsidRPr="00B938BE">
        <w:t>developed and presented colour schemes in response to 3 different design briefs that individually or cumulatively involve both interiors and exteriors</w:t>
      </w:r>
      <w:r w:rsidRPr="00B938BE">
        <w:t>:</w:t>
      </w:r>
    </w:p>
    <w:p w:rsidR="00000000" w:rsidRPr="00B938BE" w:rsidP="00B938BE">
      <w:pPr>
        <w:pStyle w:val="ListBullet2"/>
      </w:pPr>
      <w:r w:rsidRPr="00B938BE">
        <w:t>developed samples to represent colour mixing, matching, combinations and effects</w:t>
      </w:r>
    </w:p>
    <w:p w:rsidR="00000000" w:rsidRPr="00B938BE" w:rsidP="00B938BE">
      <w:pPr>
        <w:pStyle w:val="ListBullet2"/>
      </w:pPr>
      <w:r w:rsidRPr="00B938BE">
        <w:t>visually presented colour schemes using rendering and other techniques to illustrate how ideas meet overall project requirements.</w:t>
      </w:r>
    </w:p>
    <w:p w:rsidR="00000000" w:rsidRPr="00B938BE" w:rsidP="00B938BE">
      <w:pPr>
        <w:pStyle w:val="AllowPageBreak"/>
      </w:pPr>
    </w:p>
    <w:p w:rsidR="00000000" w:rsidRPr="00B938BE" w:rsidP="00B938BE">
      <w:pPr>
        <w:pStyle w:val="Heading1"/>
      </w:pPr>
      <w:bookmarkStart w:id="11" w:name="O_1014871"/>
      <w:bookmarkEnd w:id="11"/>
      <w:r w:rsidRPr="00B938BE">
        <w:t>Knowledge Evidence</w:t>
      </w:r>
    </w:p>
    <w:p w:rsidR="00000000" w:rsidRPr="00B938BE" w:rsidP="00AE722F">
      <w:pPr>
        <w:pStyle w:val="BodyText"/>
      </w:pPr>
      <w:r w:rsidRPr="00B938BE">
        <w:t>There must be evidence the candidate has knowledge of:</w:t>
      </w:r>
    </w:p>
    <w:p w:rsidR="00000000" w:rsidRPr="00B938BE" w:rsidP="00B938BE">
      <w:pPr>
        <w:pStyle w:val="ListBullet"/>
      </w:pPr>
      <w:r w:rsidRPr="00B938BE">
        <w:t>research sources for information about colour, including current trends</w:t>
      </w:r>
    </w:p>
    <w:p w:rsidR="00000000" w:rsidRPr="00B938BE" w:rsidP="00B938BE">
      <w:pPr>
        <w:pStyle w:val="ListBullet"/>
      </w:pPr>
      <w:r w:rsidRPr="00B938BE">
        <w:t>elements and principles of design</w:t>
      </w:r>
    </w:p>
    <w:p w:rsidR="00000000" w:rsidRPr="00B938BE" w:rsidP="00B938BE">
      <w:pPr>
        <w:pStyle w:val="ListBullet"/>
      </w:pPr>
      <w:r w:rsidRPr="00B938BE">
        <w:t>design process and how ideas progress</w:t>
      </w:r>
    </w:p>
    <w:p w:rsidR="00000000" w:rsidRPr="00B938BE" w:rsidP="00B938BE">
      <w:pPr>
        <w:pStyle w:val="ListBullet"/>
      </w:pPr>
      <w:r w:rsidRPr="00B938BE">
        <w:t>terminology of colour</w:t>
      </w:r>
    </w:p>
    <w:p w:rsidR="00000000" w:rsidRPr="00B938BE" w:rsidP="00B938BE">
      <w:pPr>
        <w:pStyle w:val="ListBullet"/>
      </w:pPr>
      <w:r w:rsidRPr="00B938BE">
        <w:t>colour wheels and how they are use</w:t>
      </w:r>
      <w:r w:rsidRPr="00B938BE">
        <w:t>d in interior decoration and design</w:t>
      </w:r>
    </w:p>
    <w:p w:rsidR="00000000" w:rsidRPr="00B938BE" w:rsidP="00B938BE">
      <w:pPr>
        <w:pStyle w:val="ListBullet"/>
      </w:pPr>
      <w:r w:rsidRPr="00B938BE">
        <w:t>cultural and historical influences of colour</w:t>
      </w:r>
    </w:p>
    <w:p w:rsidR="00000000" w:rsidRPr="00B938BE" w:rsidP="00B938BE">
      <w:pPr>
        <w:pStyle w:val="ListBullet"/>
      </w:pPr>
      <w:r w:rsidRPr="00B938BE">
        <w:t xml:space="preserve">colour systems and theories </w:t>
      </w:r>
    </w:p>
    <w:p w:rsidR="00000000" w:rsidRPr="00B938BE" w:rsidP="00B938BE">
      <w:pPr>
        <w:pStyle w:val="ListBullet"/>
      </w:pPr>
      <w:r w:rsidRPr="00B938BE">
        <w:t>colour psychology influences</w:t>
      </w:r>
    </w:p>
    <w:p w:rsidR="00000000" w:rsidRPr="00B938BE" w:rsidP="00B938BE">
      <w:pPr>
        <w:pStyle w:val="ListBullet"/>
      </w:pPr>
      <w:r w:rsidRPr="00B938BE">
        <w:t>use of colour in different types of interior spaces</w:t>
      </w:r>
    </w:p>
    <w:p w:rsidR="00000000" w:rsidRPr="00B938BE" w:rsidP="00B938BE">
      <w:pPr>
        <w:pStyle w:val="ListBullet"/>
      </w:pPr>
      <w:r w:rsidRPr="00B938BE">
        <w:t>processes for additive and subtractive colour mixing</w:t>
      </w:r>
    </w:p>
    <w:p w:rsidR="00000000" w:rsidRPr="00B938BE" w:rsidP="00B938BE">
      <w:pPr>
        <w:pStyle w:val="ListBullet"/>
      </w:pPr>
      <w:r w:rsidRPr="00B938BE">
        <w:t>effects of natural and artificial light on colour and finish types</w:t>
      </w:r>
    </w:p>
    <w:p w:rsidR="00000000" w:rsidRPr="00B938BE" w:rsidP="00B938BE">
      <w:pPr>
        <w:pStyle w:val="ListBullet"/>
      </w:pPr>
      <w:r w:rsidRPr="00B938BE">
        <w:t>types of rendering media and how they are used.</w:t>
      </w:r>
    </w:p>
    <w:p w:rsidR="00000000" w:rsidRPr="00B938BE" w:rsidP="00B938BE">
      <w:pPr>
        <w:pStyle w:val="AllowPageBreak"/>
      </w:pPr>
    </w:p>
    <w:p w:rsidR="00000000" w:rsidRPr="00B938BE" w:rsidP="00B938BE">
      <w:pPr>
        <w:pStyle w:val="Heading1"/>
      </w:pPr>
      <w:bookmarkStart w:id="12" w:name="O_1014872"/>
      <w:bookmarkEnd w:id="12"/>
      <w:r w:rsidRPr="00B938BE">
        <w:t>Assessment Conditions</w:t>
      </w:r>
    </w:p>
    <w:p w:rsidR="00000000" w:rsidRPr="00B938BE" w:rsidP="00AE722F">
      <w:pPr>
        <w:pStyle w:val="BodyText"/>
      </w:pPr>
      <w:r w:rsidRPr="00B938BE">
        <w:t>Skills must have been demonstrated in the workplace or in a simulated environment that reflects work</w:t>
      </w:r>
      <w:r w:rsidRPr="00B938BE">
        <w:t xml:space="preserve">place conditions and contingencies. The following conditions must be met for this unit: </w:t>
      </w:r>
    </w:p>
    <w:p w:rsidR="00000000" w:rsidRPr="00B938BE" w:rsidP="00B938BE">
      <w:pPr>
        <w:pStyle w:val="ListBullet"/>
      </w:pPr>
      <w:r w:rsidRPr="00B938BE">
        <w:t xml:space="preserve">use of suitable facilities, equipment and resources, including: </w:t>
      </w:r>
    </w:p>
    <w:p w:rsidR="00000000" w:rsidRPr="00B938BE" w:rsidP="00B938BE">
      <w:pPr>
        <w:pStyle w:val="ListBullet2"/>
      </w:pPr>
      <w:r w:rsidRPr="00B938BE">
        <w:t>design briefs</w:t>
      </w:r>
    </w:p>
    <w:p w:rsidR="00000000" w:rsidRPr="00B938BE" w:rsidP="00B938BE">
      <w:pPr>
        <w:pStyle w:val="ListBullet2"/>
      </w:pPr>
      <w:r w:rsidRPr="00B938BE">
        <w:t>information technology for research</w:t>
      </w:r>
    </w:p>
    <w:p w:rsidR="00000000" w:rsidRPr="00B938BE" w:rsidP="00B938BE">
      <w:pPr>
        <w:pStyle w:val="ListBullet2"/>
      </w:pPr>
      <w:r w:rsidRPr="00B938BE">
        <w:t>colour wheels.</w:t>
      </w:r>
    </w:p>
    <w:p w:rsidR="00000000" w:rsidRPr="00B938BE" w:rsidP="00AE722F">
      <w:pPr>
        <w:pStyle w:val="BodyText"/>
      </w:pPr>
      <w:r w:rsidRPr="00B938BE">
        <w:t>Assessors must satisfy the NVR/AQTF mandatory competency requirements for assessors.</w:t>
      </w:r>
    </w:p>
    <w:p w:rsidR="00000000" w:rsidRPr="00B938BE" w:rsidP="00B938BE">
      <w:pPr>
        <w:pStyle w:val="Heading1"/>
      </w:pPr>
      <w:bookmarkStart w:id="13" w:name="O_1014875"/>
      <w:bookmarkEnd w:id="13"/>
      <w:r w:rsidRPr="00B938BE">
        <w:t>Links</w:t>
      </w:r>
    </w:p>
    <w:p w:rsidR="00000000" w:rsidRPr="00B938BE" w:rsidP="00AE722F">
      <w:pPr>
        <w:pStyle w:val="BodyText"/>
      </w:pPr>
      <w:r w:rsidRPr="00B93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3444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938BE" w:rsidP="00B938BE"/>
    <w:sectPr w:rsidSect="00B938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BE" w:rsidRPr="00AE722F" w:rsidP="00AE7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F" w:rsidP="00B93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22F" w:rsidP="00B93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722F" w:rsidP="00B938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BE" w:rsidP="00B93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22F">
      <w:t>Approved</w:t>
    </w:r>
    <w:r w:rsidR="00AE72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2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22F">
      <w:rPr>
        <w:noProof/>
      </w:rPr>
      <w:t>4</w:t>
    </w:r>
    <w:r>
      <w:rPr>
        <w:noProof/>
      </w:rPr>
      <w:fldChar w:fldCharType="end"/>
    </w:r>
  </w:p>
  <w:p w:rsidR="00B938BE" w:rsidP="00B93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2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22F">
      <w:t>Skills Insight</w:t>
    </w:r>
    <w:r w:rsidR="00AE722F">
      <w:fldChar w:fldCharType="end"/>
    </w:r>
  </w:p>
  <w:p w:rsidR="00B938BE" w:rsidP="00B93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8BE" w:rsidRPr="00AE722F" w:rsidP="00AE7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F" w:rsidRPr="002D2AF8" w:rsidP="00B93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MSFID4016 Design colour schemes for interior and exterior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722F" w:rsidP="00B938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BE" w:rsidRPr="002D2AF8" w:rsidP="00B93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22F">
      <w:t>MSFID4016 Design colour schemes for interior and exterior spaces</w:t>
    </w:r>
    <w:r w:rsidR="00AE72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22F">
      <w:rPr>
        <w:noProof/>
      </w:rPr>
      <w:t>2 March 2025</w:t>
    </w:r>
    <w:r>
      <w:fldChar w:fldCharType="end"/>
    </w:r>
  </w:p>
  <w:p w:rsidR="00B938BE" w:rsidP="00B93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3A2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09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3AB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8BE"/>
  </w:style>
  <w:style w:type="character" w:customStyle="1" w:styleId="Heading1Char">
    <w:name w:val="Heading 1 Char"/>
    <w:basedOn w:val="DefaultParagraphFont"/>
    <w:link w:val="Heading1"/>
    <w:rsid w:val="00B93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8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8BE"/>
    <w:rPr>
      <w:b/>
      <w:spacing w:val="0"/>
    </w:rPr>
  </w:style>
  <w:style w:type="paragraph" w:styleId="ListBullet2">
    <w:name w:val="List Bullet 2"/>
    <w:basedOn w:val="List2"/>
    <w:rsid w:val="00B938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38BE"/>
    <w:rPr>
      <w:i/>
    </w:rPr>
  </w:style>
  <w:style w:type="paragraph" w:customStyle="1" w:styleId="SuperHeading">
    <w:name w:val="SuperHeading"/>
    <w:basedOn w:val="Normal"/>
    <w:rsid w:val="00B93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3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8BE"/>
  </w:style>
  <w:style w:type="paragraph" w:styleId="TableofFigures">
    <w:name w:val="table of figures"/>
    <w:basedOn w:val="Normal"/>
    <w:next w:val="Normal"/>
    <w:semiHidden/>
    <w:rsid w:val="00B93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8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38BE"/>
    <w:rPr>
      <w:rFonts w:ascii="Wingdings" w:hAnsi="Wingdings"/>
    </w:rPr>
  </w:style>
  <w:style w:type="paragraph" w:customStyle="1" w:styleId="TableHeading">
    <w:name w:val="Table Heading"/>
    <w:basedOn w:val="HeadingBase"/>
    <w:rsid w:val="00B93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8BE"/>
    <w:rPr>
      <w:color w:val="0033CC"/>
      <w:u w:val="none"/>
    </w:rPr>
  </w:style>
  <w:style w:type="paragraph" w:customStyle="1" w:styleId="BodyTextRight">
    <w:name w:val="Body Text Right"/>
    <w:basedOn w:val="BodyText"/>
    <w:rsid w:val="00B93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8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8BE"/>
    <w:rPr>
      <w:sz w:val="32"/>
    </w:rPr>
  </w:style>
  <w:style w:type="paragraph" w:customStyle="1" w:styleId="HeadingProcedure">
    <w:name w:val="Heading Procedure"/>
    <w:basedOn w:val="HeadingBase"/>
    <w:next w:val="Normal"/>
    <w:rsid w:val="00B93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8BE"/>
    <w:pPr>
      <w:spacing w:before="60" w:after="60"/>
    </w:pPr>
  </w:style>
  <w:style w:type="paragraph" w:styleId="ListContinue">
    <w:name w:val="List Continue"/>
    <w:basedOn w:val="List"/>
    <w:rsid w:val="00B938BE"/>
    <w:pPr>
      <w:ind w:firstLine="0"/>
    </w:pPr>
  </w:style>
  <w:style w:type="paragraph" w:customStyle="1" w:styleId="ListNote">
    <w:name w:val="List Note"/>
    <w:basedOn w:val="List"/>
    <w:rsid w:val="00B93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8BE"/>
    <w:rPr>
      <w:rFonts w:ascii="Courier New" w:hAnsi="Courier New"/>
    </w:rPr>
  </w:style>
  <w:style w:type="paragraph" w:customStyle="1" w:styleId="NoteBullet">
    <w:name w:val="Note Bullet"/>
    <w:basedOn w:val="Note"/>
    <w:rsid w:val="00B93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8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3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8BE"/>
    <w:rPr>
      <w:b/>
      <w:smallCaps/>
    </w:rPr>
  </w:style>
  <w:style w:type="paragraph" w:customStyle="1" w:styleId="TableListNumber">
    <w:name w:val="Table List Number"/>
    <w:basedOn w:val="ListNumber"/>
    <w:rsid w:val="00B93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8BE"/>
    <w:pPr>
      <w:numPr>
        <w:numId w:val="9"/>
      </w:numPr>
    </w:pPr>
  </w:style>
  <w:style w:type="paragraph" w:customStyle="1" w:styleId="ListAlpha2">
    <w:name w:val="List Alpha 2"/>
    <w:basedOn w:val="List2"/>
    <w:rsid w:val="00B938BE"/>
    <w:pPr>
      <w:numPr>
        <w:numId w:val="8"/>
      </w:numPr>
    </w:pPr>
  </w:style>
  <w:style w:type="paragraph" w:styleId="List2">
    <w:name w:val="List 2"/>
    <w:basedOn w:val="BodyText"/>
    <w:rsid w:val="00B93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8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8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38BE"/>
    <w:pPr>
      <w:numPr>
        <w:numId w:val="4"/>
      </w:numPr>
    </w:pPr>
  </w:style>
  <w:style w:type="paragraph" w:styleId="ListContinue2">
    <w:name w:val="List Continue 2"/>
    <w:basedOn w:val="List2"/>
    <w:rsid w:val="00B938BE"/>
    <w:pPr>
      <w:ind w:firstLine="0"/>
    </w:pPr>
  </w:style>
  <w:style w:type="paragraph" w:styleId="ListContinue3">
    <w:name w:val="List Continue 3"/>
    <w:basedOn w:val="List3"/>
    <w:rsid w:val="00B938BE"/>
    <w:pPr>
      <w:ind w:left="1021" w:firstLine="0"/>
    </w:pPr>
  </w:style>
  <w:style w:type="paragraph" w:styleId="ListContinue4">
    <w:name w:val="List Continue 4"/>
    <w:basedOn w:val="List4"/>
    <w:rsid w:val="00B938BE"/>
    <w:pPr>
      <w:ind w:firstLine="0"/>
    </w:pPr>
  </w:style>
  <w:style w:type="paragraph" w:styleId="ListContinue5">
    <w:name w:val="List Continue 5"/>
    <w:basedOn w:val="List5"/>
    <w:rsid w:val="00B938BE"/>
    <w:pPr>
      <w:ind w:firstLine="0"/>
    </w:pPr>
  </w:style>
  <w:style w:type="paragraph" w:styleId="ListNumber3">
    <w:name w:val="List Number 3"/>
    <w:basedOn w:val="List3"/>
    <w:rsid w:val="00B938BE"/>
    <w:pPr>
      <w:numPr>
        <w:numId w:val="5"/>
      </w:numPr>
    </w:pPr>
  </w:style>
  <w:style w:type="paragraph" w:styleId="ListNumber4">
    <w:name w:val="List Number 4"/>
    <w:basedOn w:val="List4"/>
    <w:rsid w:val="00B938BE"/>
    <w:pPr>
      <w:numPr>
        <w:numId w:val="6"/>
      </w:numPr>
    </w:pPr>
  </w:style>
  <w:style w:type="paragraph" w:styleId="ListNumber5">
    <w:name w:val="List Number 5"/>
    <w:basedOn w:val="List5"/>
    <w:rsid w:val="00B938BE"/>
    <w:pPr>
      <w:numPr>
        <w:numId w:val="7"/>
      </w:numPr>
    </w:pPr>
  </w:style>
  <w:style w:type="paragraph" w:styleId="BlockText">
    <w:name w:val="Block Text"/>
    <w:basedOn w:val="Normal"/>
    <w:rsid w:val="00B93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8BE"/>
    <w:rPr>
      <w:sz w:val="16"/>
      <w:vertAlign w:val="superscript"/>
    </w:rPr>
  </w:style>
  <w:style w:type="character" w:customStyle="1" w:styleId="Symbols">
    <w:name w:val="Symbols"/>
    <w:basedOn w:val="DefaultParagraphFont"/>
    <w:rsid w:val="00B938BE"/>
    <w:rPr>
      <w:rFonts w:ascii="Symbol" w:hAnsi="Symbol"/>
    </w:rPr>
  </w:style>
  <w:style w:type="character" w:customStyle="1" w:styleId="MenuOptions">
    <w:name w:val="Menu Options"/>
    <w:basedOn w:val="DefaultParagraphFont"/>
    <w:rsid w:val="00B93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8BE"/>
    <w:rPr>
      <w:b/>
    </w:rPr>
  </w:style>
  <w:style w:type="character" w:customStyle="1" w:styleId="Underlined">
    <w:name w:val="Underlined"/>
    <w:basedOn w:val="DefaultParagraphFont"/>
    <w:rsid w:val="00B938BE"/>
    <w:rPr>
      <w:u w:val="single"/>
    </w:rPr>
  </w:style>
  <w:style w:type="paragraph" w:customStyle="1" w:styleId="TableBodyTextRight">
    <w:name w:val="Table Body Text Right"/>
    <w:basedOn w:val="TableBodyText"/>
    <w:rsid w:val="00B93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8BE"/>
    <w:rPr>
      <w:sz w:val="18"/>
    </w:rPr>
  </w:style>
  <w:style w:type="paragraph" w:customStyle="1" w:styleId="BodySmallRight">
    <w:name w:val="Body Small Right"/>
    <w:basedOn w:val="BodyTextRight"/>
    <w:rsid w:val="00B938BE"/>
    <w:rPr>
      <w:sz w:val="18"/>
      <w:szCs w:val="18"/>
    </w:rPr>
  </w:style>
  <w:style w:type="paragraph" w:customStyle="1" w:styleId="MarginEdition">
    <w:name w:val="Margin Edition"/>
    <w:basedOn w:val="MarginNote"/>
    <w:rsid w:val="00B93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8BE"/>
    <w:rPr>
      <w:sz w:val="2"/>
      <w:szCs w:val="2"/>
    </w:rPr>
  </w:style>
  <w:style w:type="character" w:customStyle="1" w:styleId="Small">
    <w:name w:val="Small"/>
    <w:basedOn w:val="DefaultParagraphFont"/>
    <w:rsid w:val="00B938BE"/>
    <w:rPr>
      <w:sz w:val="16"/>
    </w:rPr>
  </w:style>
  <w:style w:type="paragraph" w:customStyle="1" w:styleId="WideTable">
    <w:name w:val="Wide Table"/>
    <w:basedOn w:val="Normal"/>
    <w:rsid w:val="00B93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8BE"/>
  </w:style>
  <w:style w:type="paragraph" w:styleId="Quote">
    <w:name w:val="Quote"/>
    <w:basedOn w:val="Heading1"/>
    <w:link w:val="QuoteChar"/>
    <w:qFormat/>
    <w:rsid w:val="00B93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8BE"/>
    <w:pPr>
      <w:pageBreakBefore/>
    </w:pPr>
  </w:style>
  <w:style w:type="paragraph" w:customStyle="1" w:styleId="Border">
    <w:name w:val="Border"/>
    <w:basedOn w:val="Normal"/>
    <w:qFormat/>
    <w:rsid w:val="00B93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8BE"/>
    <w:rPr>
      <w:u w:val="single"/>
    </w:rPr>
  </w:style>
  <w:style w:type="character" w:customStyle="1" w:styleId="BoldandItalics">
    <w:name w:val="Bold and Italics"/>
    <w:qFormat/>
    <w:rsid w:val="00B938BE"/>
    <w:rPr>
      <w:b/>
      <w:i/>
      <w:u w:val="none"/>
    </w:rPr>
  </w:style>
  <w:style w:type="paragraph" w:styleId="BalloonText">
    <w:name w:val="Balloon Text"/>
    <w:basedOn w:val="Normal"/>
    <w:link w:val="BalloonTextChar"/>
    <w:rsid w:val="00B93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8BE"/>
    <w:pPr>
      <w:spacing w:before="0" w:after="0"/>
    </w:pPr>
  </w:style>
  <w:style w:type="paragraph" w:customStyle="1" w:styleId="BodyTextBold">
    <w:name w:val="Body Text Bold"/>
    <w:basedOn w:val="BodyText"/>
    <w:qFormat/>
    <w:rsid w:val="00B938BE"/>
    <w:rPr>
      <w:b/>
    </w:rPr>
  </w:style>
  <w:style w:type="character" w:styleId="Hyperlink">
    <w:name w:val="Hyperlink"/>
    <w:basedOn w:val="DefaultParagraphFont"/>
    <w:uiPriority w:val="99"/>
    <w:unhideWhenUsed/>
    <w:rsid w:val="00AE7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4984</Characters>
  <Application>Microsoft Office Word</Application>
  <DocSecurity>0</DocSecurity>
  <Lines>146</Lines>
  <Paragraphs>99</Paragraphs>
  <ScaleCrop>false</ScaleCrop>
  <Company>Author-it Software Corporation Ltd.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MSFID4016 Design colour schemes for interior and exterior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