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913" w:rsidP="003F1913">
      <w:pPr>
        <w:pStyle w:val="Title"/>
      </w:pPr>
      <w:r>
        <w:fldChar w:fldCharType="begin"/>
      </w:r>
      <w:r>
        <w:instrText xml:space="preserve"> TITLE   \* MERGEFORMAT </w:instrText>
      </w:r>
      <w:r>
        <w:fldChar w:fldCharType="separate"/>
      </w:r>
      <w:r>
        <w:t>MSFID4011 Determine work health and safety (WHS) implications of interior effects</w:t>
      </w:r>
      <w:r>
        <w:fldChar w:fldCharType="end"/>
      </w:r>
    </w:p>
    <w:p w:rsidR="003F1913" w:rsidP="003F1913">
      <w:pPr>
        <w:pStyle w:val="Version"/>
        <w:sectPr w:rsidSect="00DC0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19F" w:rsidP="00DC019F">
      <w:pPr>
        <w:pStyle w:val="SuperHeading"/>
      </w:pPr>
      <w:r w:rsidRPr="00DC019F">
        <w:t>MSFID4011 Determine work health and safety (WHS) implications of interior effects</w:t>
      </w:r>
    </w:p>
    <w:p w:rsidR="00000000" w:rsidRPr="00DC019F" w:rsidP="00DC019F">
      <w:pPr>
        <w:pStyle w:val="Heading1"/>
      </w:pPr>
      <w:bookmarkStart w:id="1" w:name="O_628998"/>
      <w:bookmarkEnd w:id="1"/>
      <w:r w:rsidRPr="00DC019F">
        <w:t>Modification History</w:t>
      </w:r>
    </w:p>
    <w:p w:rsidR="00000000" w:rsidRPr="00DC019F" w:rsidP="00DC019F">
      <w:pPr>
        <w:pStyle w:val="BodyText"/>
      </w:pPr>
      <w:r w:rsidRPr="00DC019F">
        <w:t>Release 1 - New unit of competency</w:t>
      </w:r>
    </w:p>
    <w:p w:rsidR="00000000" w:rsidRPr="00DC019F" w:rsidP="00DC019F">
      <w:pPr>
        <w:pStyle w:val="AllowPageBreak"/>
      </w:pPr>
    </w:p>
    <w:p w:rsidR="00000000" w:rsidRPr="00DC019F" w:rsidP="00DC019F">
      <w:pPr>
        <w:pStyle w:val="Heading1"/>
      </w:pPr>
      <w:bookmarkStart w:id="2" w:name="O_629006"/>
      <w:bookmarkEnd w:id="2"/>
      <w:r w:rsidRPr="00DC019F">
        <w:t>Application</w:t>
      </w:r>
    </w:p>
    <w:p w:rsidR="00000000" w:rsidRPr="00DC019F" w:rsidP="00DC019F">
      <w:pPr>
        <w:pStyle w:val="BodyText"/>
      </w:pPr>
      <w:r w:rsidRPr="00DC019F">
        <w:t>This unit of competency covers identifying and assessing the WHS implications of effects used in interior decoration and design, including furniture, hard and soft materials and accessories, to determine potential hazards for a range of customer groups.</w:t>
      </w:r>
    </w:p>
    <w:p w:rsidR="00000000" w:rsidRPr="00DC019F" w:rsidP="00DC019F">
      <w:pPr>
        <w:pStyle w:val="BodyText"/>
      </w:pPr>
    </w:p>
    <w:p w:rsidR="00000000" w:rsidRPr="00DC019F" w:rsidP="00DC019F">
      <w:pPr>
        <w:pStyle w:val="BodyText"/>
      </w:pPr>
      <w:r w:rsidRPr="00DC019F">
        <w:t>N</w:t>
      </w:r>
      <w:r w:rsidRPr="00DC019F">
        <w:t>o licensing, legislative or certification requirements apply to this unit at the time of publication.</w:t>
      </w:r>
    </w:p>
    <w:p w:rsidR="00000000" w:rsidRPr="00DC019F" w:rsidP="00DC019F">
      <w:pPr>
        <w:pStyle w:val="AllowPageBreak"/>
      </w:pPr>
    </w:p>
    <w:p w:rsidR="00000000" w:rsidRPr="00DC019F" w:rsidP="00DC019F">
      <w:pPr>
        <w:pStyle w:val="Heading1"/>
      </w:pPr>
      <w:bookmarkStart w:id="3" w:name="O_629005"/>
      <w:bookmarkEnd w:id="3"/>
      <w:r w:rsidRPr="00DC019F">
        <w:t>Pre-requisite Unit</w:t>
      </w:r>
    </w:p>
    <w:p w:rsidR="00000000" w:rsidRPr="00DC019F" w:rsidP="00DC019F">
      <w:pPr>
        <w:pStyle w:val="Heading1"/>
      </w:pPr>
      <w:bookmarkStart w:id="4" w:name="O_629004"/>
      <w:bookmarkEnd w:id="4"/>
      <w:r w:rsidRPr="00DC019F">
        <w:t>Competency Field</w:t>
      </w:r>
    </w:p>
    <w:p w:rsidR="00000000" w:rsidRPr="00DC019F" w:rsidP="00DC019F">
      <w:pPr>
        <w:pStyle w:val="Heading1"/>
      </w:pPr>
      <w:bookmarkStart w:id="5" w:name="O_629003"/>
      <w:bookmarkEnd w:id="5"/>
      <w:r w:rsidRPr="00DC019F">
        <w:t>Unit Sector</w:t>
      </w:r>
    </w:p>
    <w:p w:rsidR="00000000" w:rsidRPr="00DC019F" w:rsidP="00DC019F">
      <w:pPr>
        <w:pStyle w:val="BodyText"/>
      </w:pPr>
      <w:r w:rsidRPr="00DC019F">
        <w:t>Interior Decoration and Design</w:t>
      </w:r>
    </w:p>
    <w:p w:rsidR="00000000" w:rsidRPr="00DC019F" w:rsidP="00DC019F">
      <w:pPr>
        <w:pStyle w:val="AllowPageBreak"/>
      </w:pPr>
    </w:p>
    <w:p w:rsidR="00000000" w:rsidRPr="00DC019F" w:rsidP="00DC019F">
      <w:pPr>
        <w:pStyle w:val="Heading1"/>
      </w:pPr>
      <w:bookmarkStart w:id="6" w:name="O_629002"/>
      <w:bookmarkEnd w:id="6"/>
      <w:r w:rsidRPr="00DC019F">
        <w:t xml:space="preserve">Elements </w:t>
      </w:r>
      <w:r w:rsidRPr="00DC019F">
        <w:t>and Performance Criteria</w:t>
      </w:r>
    </w:p>
    <w:tbl>
      <w:tblPr>
        <w:tblW w:w="9286" w:type="dxa"/>
        <w:tblLayout w:type="fixed"/>
        <w:tblCellMar>
          <w:left w:w="62" w:type="dxa"/>
          <w:right w:w="62" w:type="dxa"/>
        </w:tblCellMar>
        <w:tblLook w:val="0000"/>
      </w:tblPr>
      <w:tblGrid>
        <w:gridCol w:w="530"/>
        <w:gridCol w:w="2229"/>
        <w:gridCol w:w="751"/>
        <w:gridCol w:w="5776"/>
      </w:tblGrid>
      <w:tr w:rsidTr="00DC019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Performance criteria describe the performance needed to demonstrate achievement of the element.</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w:t>
            </w:r>
          </w:p>
        </w:tc>
        <w:tc>
          <w:tcPr>
            <w:tcW w:w="2229"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Identify principles of WHS</w:t>
            </w: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1.1</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Duty of care and responsibilities of individuals and organisations are defined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1.2</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Concepts of hierarchy of control are identified and related to the workplace</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1.3</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 xml:space="preserve">Codes of practice relating to specific workplace risks are identified </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1.4</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Importance of a systematic approach to WHS is understood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1.5</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Applicable WHS, legislative and organisational requirements relevant to interior decoration and design are identified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w:t>
            </w:r>
          </w:p>
        </w:tc>
        <w:tc>
          <w:tcPr>
            <w:tcW w:w="2229" w:type="dxa"/>
            <w:vMerge w:val="restart"/>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 xml:space="preserve">Assess WHS implications for interior decoration and design </w:t>
            </w: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2.1</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Hazards</w:t>
            </w:r>
            <w:r w:rsidRPr="00DC019F">
              <w:t xml:space="preserve"> associated with materials used in interiors are identified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2.2</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Hazards associated with effects are identified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2.3</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Safety measures implemented to control hazards are identified and implications for interior decoration and design evaluated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2.4</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 xml:space="preserve">Information resources on safety aspects of materials, effects and technology used in interior decoration and design are identified and accessed </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2.5</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Furniture and joinery ergonomics are assessed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3</w:t>
            </w:r>
          </w:p>
        </w:tc>
        <w:tc>
          <w:tcPr>
            <w:tcW w:w="2229" w:type="dxa"/>
            <w:vMerge w:val="restart"/>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Assess safety implications for customers</w:t>
            </w: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3.1</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Range of customers for interior decoration and design are identified and potential hazards for customers determined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3.2</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Safety measures implemented to control hazards to customers are identified and implications for decoration and design are evaluated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4</w:t>
            </w:r>
          </w:p>
        </w:tc>
        <w:tc>
          <w:tcPr>
            <w:tcW w:w="2229"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Assess risk</w:t>
            </w: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4.1</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Likelihood of hazards causing harm is considered and determined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4.2</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Consequence if the event should occur is evaluated and determined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4.3</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Risk level (likelihood and consequence combined) is considered and determined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5</w:t>
            </w:r>
          </w:p>
        </w:tc>
        <w:tc>
          <w:tcPr>
            <w:tcW w:w="2229" w:type="dxa"/>
            <w:vMerge w:val="restart"/>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Apply risk control measures to decoration and design solutions</w:t>
            </w: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5.1</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Project brief is analysed and potential safety issues identified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5.2</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Solutions are evaluated for WHS implications</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5.3</w:t>
            </w:r>
          </w:p>
        </w:tc>
        <w:tc>
          <w:tcPr>
            <w:tcW w:w="5776"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Range of options which may eliminate or minimise risks are identi</w:t>
            </w:r>
            <w:r w:rsidRPr="00DC019F">
              <w:t>fied</w:t>
            </w:r>
          </w:p>
        </w:tc>
      </w:tr>
      <w:tr w:rsidTr="00DC019F">
        <w:tblPrEx>
          <w:tblW w:w="9286"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5.4</w:t>
            </w:r>
          </w:p>
        </w:tc>
        <w:tc>
          <w:tcPr>
            <w:tcW w:w="5776" w:type="dxa"/>
            <w:tcBorders>
              <w:top w:val="nil"/>
              <w:left w:val="nil"/>
              <w:bottom w:val="nil"/>
              <w:right w:val="nil"/>
            </w:tcBorders>
            <w:tcMar>
              <w:top w:w="0" w:type="dxa"/>
              <w:left w:w="62" w:type="dxa"/>
              <w:bottom w:w="0" w:type="dxa"/>
              <w:right w:w="62" w:type="dxa"/>
            </w:tcMar>
          </w:tcPr>
          <w:p w:rsidR="00000000" w:rsidRPr="00DC019F" w:rsidP="00DC019F">
            <w:pPr>
              <w:pStyle w:val="BodyText"/>
            </w:pPr>
            <w:r w:rsidRPr="00DC019F">
              <w:t>Most appropriate treatment for addressing risk is selected and applied to solution</w:t>
            </w:r>
          </w:p>
        </w:tc>
      </w:tr>
    </w:tbl>
    <w:p w:rsidR="00000000" w:rsidRPr="00DC019F" w:rsidP="00DC019F">
      <w:pPr>
        <w:pStyle w:val="BodyText"/>
      </w:pPr>
    </w:p>
    <w:p w:rsidR="00000000" w:rsidRPr="00DC019F" w:rsidP="00DC019F">
      <w:pPr>
        <w:pStyle w:val="AllowPageBreak"/>
      </w:pPr>
    </w:p>
    <w:p w:rsidR="00000000" w:rsidRPr="00DC019F" w:rsidP="00DC019F">
      <w:pPr>
        <w:pStyle w:val="Heading1"/>
      </w:pPr>
      <w:bookmarkStart w:id="7" w:name="O_629001"/>
      <w:bookmarkEnd w:id="7"/>
      <w:r w:rsidRPr="00DC019F">
        <w:t>Foundation Skills</w:t>
      </w:r>
    </w:p>
    <w:p w:rsidR="00000000" w:rsidRPr="00DC019F" w:rsidP="00DC019F">
      <w:pPr>
        <w:pStyle w:val="BodyText"/>
      </w:pPr>
      <w:r w:rsidRPr="00DC019F">
        <w:t>Foundation skills essential to performance are explicit in the performance criteria of this unit of competency. Detail on appropriate performance levels for each furnishing unit of competency in reading, writing, oral communication and numeracy utilising t</w:t>
      </w:r>
      <w:r w:rsidRPr="00DC019F">
        <w:t>he Australian Core Skills Framework (ACSF) are provided in the Furnishing Training Package Implementation Guide.</w:t>
      </w:r>
    </w:p>
    <w:p w:rsidR="00000000" w:rsidRPr="00DC019F" w:rsidP="00DC019F">
      <w:pPr>
        <w:pStyle w:val="AllowPageBreak"/>
      </w:pPr>
    </w:p>
    <w:p w:rsidR="00000000" w:rsidRPr="00DC019F" w:rsidP="00DC019F">
      <w:pPr>
        <w:pStyle w:val="Heading1"/>
      </w:pPr>
      <w:bookmarkStart w:id="8" w:name="O_629000"/>
      <w:bookmarkEnd w:id="8"/>
      <w:r w:rsidRPr="00DC019F">
        <w:t>Range of Conditions</w:t>
      </w:r>
    </w:p>
    <w:tbl>
      <w:tblPr>
        <w:tblW w:w="0" w:type="auto"/>
        <w:tblLayout w:type="fixed"/>
        <w:tblCellMar>
          <w:left w:w="62" w:type="dxa"/>
          <w:right w:w="62" w:type="dxa"/>
        </w:tblCellMar>
        <w:tblLook w:val="0000"/>
      </w:tblPr>
      <w:tblGrid>
        <w:gridCol w:w="2760"/>
        <w:gridCol w:w="6312"/>
      </w:tblGrid>
      <w:tr w:rsidTr="00DC01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t>Specifies different work environments and conditions that may affect performance. Essential operating cond</w:t>
            </w:r>
            <w:r w:rsidRPr="00DC019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C019F">
              <w:t>to the work environment.</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WHS requirements, including legislation, building codes, material safety management systems, hazardous and dangerous goods codes, and local safe operating procedures or equivalent </w:t>
            </w:r>
          </w:p>
          <w:p w:rsidR="00000000" w:rsidRPr="00DC019F" w:rsidP="00DC019F">
            <w:pPr>
              <w:pStyle w:val="ListBullet"/>
            </w:pPr>
            <w:r w:rsidRPr="00DC019F">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DC019F">
            <w:pPr>
              <w:pStyle w:val="ListBullet"/>
              <w:rPr>
                <w:lang w:val="en-NZ"/>
              </w:rPr>
            </w:pPr>
            <w:r w:rsidRPr="00DC019F">
              <w:t>work requires in</w:t>
            </w:r>
            <w:r w:rsidRPr="00DC019F">
              <w:t>dividual to demonstrate discretion, judgement and problem solving, plus self-management and learning skills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Duty of care: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requires everything ‘reasonably practicable’ to be done to protect the health and safety of others at the workplace. This duty is pl</w:t>
            </w:r>
            <w:r w:rsidRPr="00DC019F">
              <w:t>aced on:</w:t>
            </w:r>
          </w:p>
          <w:p w:rsidR="00000000" w:rsidRPr="00DC019F" w:rsidP="00DC019F">
            <w:pPr>
              <w:pStyle w:val="ListBullet2"/>
            </w:pPr>
            <w:r w:rsidRPr="00DC019F">
              <w:t>all employers</w:t>
            </w:r>
          </w:p>
          <w:p w:rsidR="00000000" w:rsidRPr="00DC019F" w:rsidP="00DC019F">
            <w:pPr>
              <w:pStyle w:val="ListBullet2"/>
            </w:pPr>
            <w:r w:rsidRPr="00DC019F">
              <w:t>their employees</w:t>
            </w:r>
          </w:p>
          <w:p w:rsidR="00000000" w:rsidP="00DC019F">
            <w:pPr>
              <w:pStyle w:val="ListBullet2"/>
              <w:rPr>
                <w:lang w:val="en-NZ"/>
              </w:rPr>
            </w:pPr>
            <w:r w:rsidRPr="00DC019F">
              <w:t>any others who have an influence on the hazards in a workplace</w:t>
            </w:r>
          </w:p>
        </w:tc>
      </w:tr>
      <w:tr w:rsidTr="00DC019F">
        <w:tblPrEx>
          <w:tblW w:w="0" w:type="auto"/>
          <w:tblLayout w:type="fixed"/>
          <w:tblCellMar>
            <w:left w:w="62" w:type="dxa"/>
            <w:right w:w="62" w:type="dxa"/>
          </w:tblCellMar>
          <w:tblLook w:val="0000"/>
        </w:tblPrEx>
        <w:trPr>
          <w:trHeight w:val="906"/>
        </w:trPr>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Responsibilities of individuals and organisations include:</w:t>
            </w:r>
          </w:p>
        </w:tc>
        <w:tc>
          <w:tcPr>
            <w:tcW w:w="6312" w:type="dxa"/>
            <w:tcBorders>
              <w:top w:val="nil"/>
              <w:left w:val="nil"/>
              <w:bottom w:val="nil"/>
              <w:right w:val="nil"/>
            </w:tcBorders>
            <w:tcMar>
              <w:top w:w="0" w:type="dxa"/>
              <w:left w:w="62" w:type="dxa"/>
              <w:bottom w:w="0" w:type="dxa"/>
              <w:right w:w="62" w:type="dxa"/>
            </w:tcMar>
          </w:tcPr>
          <w:p w:rsidR="00000000" w:rsidP="00DC019F">
            <w:pPr>
              <w:pStyle w:val="ListBullet"/>
              <w:rPr>
                <w:lang w:val="en-NZ"/>
              </w:rPr>
            </w:pPr>
            <w:r w:rsidRPr="00DC019F">
              <w:t xml:space="preserve">complying, as far possible, with all activities carried out in accordance with the </w:t>
            </w:r>
            <w:r w:rsidRPr="00DC019F">
              <w:t>standard and reporting anything that might affect compliance with the standard</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Hierarchy of control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the range of feasible options for managing the risk to health and safety. The hierarchy has the following controls: </w:t>
            </w:r>
          </w:p>
          <w:p w:rsidR="00000000" w:rsidRPr="00DC019F" w:rsidP="00DC019F">
            <w:pPr>
              <w:pStyle w:val="ListBullet2"/>
            </w:pPr>
            <w:r w:rsidRPr="00DC019F">
              <w:t>elimination of the hazard</w:t>
            </w:r>
          </w:p>
          <w:p w:rsidR="00000000" w:rsidRPr="00DC019F" w:rsidP="00DC019F">
            <w:pPr>
              <w:pStyle w:val="ListBullet2"/>
            </w:pPr>
            <w:r w:rsidRPr="00DC019F">
              <w:t>its substitution with a less harmful version</w:t>
            </w:r>
          </w:p>
          <w:p w:rsidR="00000000" w:rsidRPr="00DC019F" w:rsidP="00DC019F">
            <w:pPr>
              <w:pStyle w:val="ListBullet2"/>
            </w:pPr>
            <w:r w:rsidRPr="00DC019F">
              <w:t>its redesign</w:t>
            </w:r>
          </w:p>
          <w:p w:rsidR="00000000" w:rsidRPr="00DC019F" w:rsidP="00DC019F">
            <w:pPr>
              <w:pStyle w:val="ListBullet2"/>
            </w:pPr>
            <w:r w:rsidRPr="00DC019F">
              <w:t>engineering controls</w:t>
            </w:r>
          </w:p>
          <w:p w:rsidR="00000000" w:rsidRPr="00DC019F" w:rsidP="00DC019F">
            <w:pPr>
              <w:pStyle w:val="ListBullet2"/>
            </w:pPr>
            <w:r w:rsidRPr="00DC019F">
              <w:t>isolation of the hazard from people at the workplace</w:t>
            </w:r>
          </w:p>
          <w:p w:rsidR="00000000" w:rsidRPr="00DC019F" w:rsidP="00DC019F">
            <w:pPr>
              <w:pStyle w:val="ListBullet2"/>
            </w:pPr>
            <w:r w:rsidRPr="00DC019F">
              <w:t>safe work practices</w:t>
            </w:r>
          </w:p>
          <w:p w:rsidR="00000000" w:rsidRPr="00DC019F" w:rsidP="00DC019F">
            <w:pPr>
              <w:pStyle w:val="ListBullet2"/>
            </w:pPr>
            <w:r w:rsidRPr="00DC019F">
              <w:t>redesigning work systems</w:t>
            </w:r>
          </w:p>
          <w:p w:rsidR="00000000" w:rsidP="00DC019F">
            <w:pPr>
              <w:pStyle w:val="ListBullet2"/>
              <w:rPr>
                <w:lang w:val="en-NZ"/>
              </w:rPr>
            </w:pPr>
            <w:r w:rsidRPr="00DC019F">
              <w:t>the use of personal protective equipment by people at the workplace</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Systematic approach includes:</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hazard identification</w:t>
            </w:r>
          </w:p>
          <w:p w:rsidR="00000000" w:rsidRPr="00DC019F" w:rsidP="00DC019F">
            <w:pPr>
              <w:pStyle w:val="ListBullet"/>
            </w:pPr>
            <w:r w:rsidRPr="00DC019F">
              <w:t xml:space="preserve">risk assessment </w:t>
            </w:r>
          </w:p>
          <w:p w:rsidR="00000000" w:rsidRPr="00DC019F" w:rsidP="00DC019F">
            <w:pPr>
              <w:pStyle w:val="ListBullet"/>
            </w:pPr>
            <w:r w:rsidRPr="00DC019F">
              <w:t>risk control</w:t>
            </w:r>
          </w:p>
          <w:p w:rsidR="00000000" w:rsidP="00DC019F">
            <w:pPr>
              <w:pStyle w:val="ListBullet"/>
              <w:rPr>
                <w:lang w:val="en-NZ"/>
              </w:rPr>
            </w:pPr>
            <w:r w:rsidRPr="00DC019F">
              <w:t>review</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Commonwealth, state or territory legislation and regulations</w:t>
            </w:r>
          </w:p>
          <w:p w:rsidR="00000000" w:rsidRPr="00DC019F" w:rsidP="00DC019F">
            <w:pPr>
              <w:pStyle w:val="ListBullet"/>
            </w:pPr>
            <w:r w:rsidRPr="00DC019F">
              <w:t>organisational safety policies and procedures</w:t>
            </w:r>
          </w:p>
          <w:p w:rsidR="00000000" w:rsidRPr="00DC019F" w:rsidP="00DC019F">
            <w:pPr>
              <w:pStyle w:val="ListBullet"/>
            </w:pPr>
            <w:r w:rsidRPr="00DC019F">
              <w:t xml:space="preserve">use of personal protective equipment and clothing </w:t>
            </w:r>
          </w:p>
          <w:p w:rsidR="00000000" w:rsidRPr="00DC019F" w:rsidP="00DC019F">
            <w:pPr>
              <w:pStyle w:val="ListBullet"/>
            </w:pPr>
            <w:r w:rsidRPr="00DC019F">
              <w:t xml:space="preserve">firefighting equipment </w:t>
            </w:r>
          </w:p>
          <w:p w:rsidR="00000000" w:rsidRPr="00DC019F" w:rsidP="00DC019F">
            <w:pPr>
              <w:pStyle w:val="ListBullet"/>
            </w:pPr>
            <w:r w:rsidRPr="00DC019F">
              <w:t xml:space="preserve">first aid equipment </w:t>
            </w:r>
          </w:p>
          <w:p w:rsidR="00000000" w:rsidRPr="00DC019F" w:rsidP="00DC019F">
            <w:pPr>
              <w:pStyle w:val="ListBullet"/>
            </w:pPr>
            <w:r w:rsidRPr="00DC019F">
              <w:t xml:space="preserve">hazard and risk control and elimination </w:t>
            </w:r>
          </w:p>
          <w:p w:rsidR="00000000" w:rsidRPr="00DC019F" w:rsidP="00DC019F">
            <w:pPr>
              <w:pStyle w:val="ListBullet"/>
            </w:pPr>
            <w:r w:rsidRPr="00DC019F">
              <w:t xml:space="preserve">control of hazardous materials and substances </w:t>
            </w:r>
          </w:p>
          <w:p w:rsidR="00000000" w:rsidP="00DC019F">
            <w:pPr>
              <w:pStyle w:val="ListBullet"/>
              <w:rPr>
                <w:lang w:val="en-NZ"/>
              </w:rPr>
            </w:pPr>
            <w:r w:rsidRPr="00DC019F">
              <w:t>manual handling including lifting and carrying</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adhesives</w:t>
            </w:r>
          </w:p>
          <w:p w:rsidR="00000000" w:rsidRPr="00DC019F" w:rsidP="00DC019F">
            <w:pPr>
              <w:pStyle w:val="ListBullet"/>
            </w:pPr>
            <w:r w:rsidRPr="00DC019F">
              <w:t>nails, and staples</w:t>
            </w:r>
          </w:p>
          <w:p w:rsidR="00000000" w:rsidRPr="00DC019F" w:rsidP="00DC019F">
            <w:pPr>
              <w:pStyle w:val="ListBullet"/>
            </w:pPr>
            <w:r w:rsidRPr="00DC019F">
              <w:t>paint</w:t>
            </w:r>
          </w:p>
          <w:p w:rsidR="00000000" w:rsidRPr="00DC019F" w:rsidP="00DC019F">
            <w:pPr>
              <w:pStyle w:val="ListBullet"/>
            </w:pPr>
            <w:r w:rsidRPr="00DC019F">
              <w:t>treatments and finishes</w:t>
            </w:r>
          </w:p>
          <w:p w:rsidR="00000000" w:rsidRPr="00DC019F" w:rsidP="00DC019F">
            <w:pPr>
              <w:pStyle w:val="ListBullet"/>
            </w:pPr>
            <w:r w:rsidRPr="00DC019F">
              <w:t>fixtures</w:t>
            </w:r>
          </w:p>
          <w:p w:rsidR="00000000" w:rsidRPr="00DC019F" w:rsidP="00DC019F">
            <w:pPr>
              <w:pStyle w:val="ListBullet"/>
            </w:pPr>
            <w:r w:rsidRPr="00DC019F">
              <w:t>fabrics</w:t>
            </w:r>
          </w:p>
          <w:p w:rsidR="00000000" w:rsidRPr="00DC019F" w:rsidP="00DC019F">
            <w:pPr>
              <w:pStyle w:val="ListBullet"/>
            </w:pPr>
            <w:r w:rsidRPr="00DC019F">
              <w:t>animal skin</w:t>
            </w:r>
          </w:p>
          <w:p w:rsidR="00000000" w:rsidRPr="00DC019F" w:rsidP="00DC019F">
            <w:pPr>
              <w:pStyle w:val="ListBullet"/>
            </w:pPr>
            <w:r w:rsidRPr="00DC019F">
              <w:t>wood</w:t>
            </w:r>
          </w:p>
          <w:p w:rsidR="00000000" w:rsidRPr="00DC019F" w:rsidP="00DC019F">
            <w:pPr>
              <w:pStyle w:val="ListBullet"/>
            </w:pPr>
            <w:r w:rsidRPr="00DC019F">
              <w:t>metal</w:t>
            </w:r>
          </w:p>
          <w:p w:rsidR="00000000" w:rsidRPr="00DC019F" w:rsidP="00DC019F">
            <w:pPr>
              <w:pStyle w:val="ListBullet"/>
            </w:pPr>
            <w:r w:rsidRPr="00DC019F">
              <w:t>plastic</w:t>
            </w:r>
          </w:p>
          <w:p w:rsidR="00000000" w:rsidRPr="00DC019F" w:rsidP="00DC019F">
            <w:pPr>
              <w:pStyle w:val="ListBullet"/>
            </w:pPr>
            <w:r w:rsidRPr="00DC019F">
              <w:t xml:space="preserve">foam </w:t>
            </w:r>
          </w:p>
          <w:p w:rsidR="00000000" w:rsidP="00DC019F">
            <w:pPr>
              <w:pStyle w:val="ListBullet"/>
              <w:rPr>
                <w:lang w:val="en-NZ"/>
              </w:rPr>
            </w:pPr>
            <w:r w:rsidRPr="00DC019F">
              <w:t>oils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Hazards associated with materials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chemical properties: </w:t>
            </w:r>
          </w:p>
          <w:p w:rsidR="00000000" w:rsidRPr="00DC019F" w:rsidP="00DC019F">
            <w:pPr>
              <w:pStyle w:val="ListBullet2"/>
            </w:pPr>
            <w:r w:rsidRPr="00DC019F">
              <w:t xml:space="preserve">toxicity </w:t>
            </w:r>
          </w:p>
          <w:p w:rsidR="00000000" w:rsidRPr="00DC019F" w:rsidP="00DC019F">
            <w:pPr>
              <w:pStyle w:val="ListBullet2"/>
            </w:pPr>
            <w:r w:rsidRPr="00DC019F">
              <w:t>fumes</w:t>
            </w:r>
          </w:p>
          <w:p w:rsidR="00000000" w:rsidRPr="00DC019F" w:rsidP="00DC019F">
            <w:pPr>
              <w:pStyle w:val="ListBullet2"/>
            </w:pPr>
            <w:r w:rsidRPr="00DC019F">
              <w:t>combustibility</w:t>
            </w:r>
          </w:p>
          <w:p w:rsidR="00000000" w:rsidRPr="00DC019F" w:rsidP="00DC019F">
            <w:pPr>
              <w:pStyle w:val="ListBullet"/>
            </w:pPr>
            <w:r w:rsidRPr="00DC019F">
              <w:t xml:space="preserve">physical properties: </w:t>
            </w:r>
          </w:p>
          <w:p w:rsidR="00000000" w:rsidRPr="00DC019F" w:rsidP="00DC019F">
            <w:pPr>
              <w:pStyle w:val="ListBullet2"/>
            </w:pPr>
            <w:r w:rsidRPr="00DC019F">
              <w:t xml:space="preserve">strength </w:t>
            </w:r>
          </w:p>
          <w:p w:rsidR="00000000" w:rsidRPr="00DC019F" w:rsidP="00DC019F">
            <w:pPr>
              <w:pStyle w:val="ListBullet2"/>
            </w:pPr>
            <w:r w:rsidRPr="00DC019F">
              <w:t>weakness</w:t>
            </w:r>
          </w:p>
          <w:p w:rsidR="00000000" w:rsidRPr="00DC019F" w:rsidP="00DC019F">
            <w:pPr>
              <w:pStyle w:val="ListBullet2"/>
            </w:pPr>
            <w:r w:rsidRPr="00DC019F">
              <w:t>splintering</w:t>
            </w:r>
          </w:p>
          <w:p w:rsidR="00000000" w:rsidRPr="00DC019F" w:rsidP="00DC019F">
            <w:pPr>
              <w:pStyle w:val="ListBullet2"/>
            </w:pPr>
            <w:r w:rsidRPr="00DC019F">
              <w:t>breakage</w:t>
            </w:r>
          </w:p>
          <w:p w:rsidR="00000000" w:rsidRPr="00DC019F" w:rsidP="00DC019F">
            <w:pPr>
              <w:pStyle w:val="ListBullet2"/>
            </w:pPr>
            <w:r w:rsidRPr="00DC019F">
              <w:t>weight</w:t>
            </w:r>
          </w:p>
          <w:p w:rsidR="00000000" w:rsidRPr="00DC019F" w:rsidP="00DC019F">
            <w:pPr>
              <w:pStyle w:val="ListBullet"/>
            </w:pPr>
            <w:r w:rsidRPr="00DC019F">
              <w:t xml:space="preserve">components: </w:t>
            </w:r>
          </w:p>
          <w:p w:rsidR="00000000" w:rsidRPr="00DC019F" w:rsidP="00DC019F">
            <w:pPr>
              <w:pStyle w:val="ListBullet2"/>
            </w:pPr>
            <w:r w:rsidRPr="00DC019F">
              <w:t>adhesives</w:t>
            </w:r>
          </w:p>
          <w:p w:rsidR="00000000" w:rsidRPr="00DC019F" w:rsidP="00DC019F">
            <w:pPr>
              <w:pStyle w:val="ListBullet2"/>
            </w:pPr>
            <w:r w:rsidRPr="00DC019F">
              <w:t>nails and staples</w:t>
            </w:r>
          </w:p>
          <w:p w:rsidR="00000000" w:rsidP="00DC019F">
            <w:pPr>
              <w:pStyle w:val="ListBullet2"/>
              <w:rPr>
                <w:lang w:val="en-NZ"/>
              </w:rPr>
            </w:pPr>
            <w:r w:rsidRPr="00DC019F">
              <w:t>manual handling requirements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Effects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furniture</w:t>
            </w:r>
          </w:p>
          <w:p w:rsidR="00000000" w:rsidRPr="00DC019F" w:rsidP="00DC019F">
            <w:pPr>
              <w:pStyle w:val="ListBullet"/>
            </w:pPr>
            <w:r w:rsidRPr="00DC019F">
              <w:t>fixtures</w:t>
            </w:r>
          </w:p>
          <w:p w:rsidR="00000000" w:rsidRPr="00DC019F" w:rsidP="00DC019F">
            <w:pPr>
              <w:pStyle w:val="ListBullet"/>
            </w:pPr>
            <w:r w:rsidRPr="00DC019F">
              <w:t>finishes</w:t>
            </w:r>
          </w:p>
          <w:p w:rsidR="00000000" w:rsidRPr="00DC019F" w:rsidP="00DC019F">
            <w:pPr>
              <w:pStyle w:val="ListBullet"/>
            </w:pPr>
            <w:r w:rsidRPr="00DC019F">
              <w:t>accessories</w:t>
            </w:r>
          </w:p>
          <w:p w:rsidR="00000000" w:rsidRPr="00DC019F" w:rsidP="00DC019F">
            <w:pPr>
              <w:pStyle w:val="ListBullet"/>
            </w:pPr>
            <w:r w:rsidRPr="00DC019F">
              <w:t>soft furnishings</w:t>
            </w:r>
          </w:p>
          <w:p w:rsidR="00000000" w:rsidRPr="00DC019F" w:rsidP="00DC019F">
            <w:pPr>
              <w:pStyle w:val="ListBullet"/>
            </w:pPr>
            <w:r w:rsidRPr="00DC019F">
              <w:t xml:space="preserve">lighting </w:t>
            </w:r>
          </w:p>
          <w:p w:rsidR="00000000" w:rsidP="00DC019F">
            <w:pPr>
              <w:pStyle w:val="ListBullet"/>
              <w:rPr>
                <w:lang w:val="en-NZ"/>
              </w:rPr>
            </w:pPr>
            <w:r w:rsidRPr="00DC019F">
              <w:t>special effects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Hazards associated with effects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location and positioning considerations, such as: </w:t>
            </w:r>
          </w:p>
          <w:p w:rsidR="00000000" w:rsidRPr="00DC019F" w:rsidP="00DC019F">
            <w:pPr>
              <w:pStyle w:val="ListBullet2"/>
            </w:pPr>
            <w:r w:rsidRPr="00DC019F">
              <w:t xml:space="preserve">accessibility and obstruction </w:t>
            </w:r>
          </w:p>
          <w:p w:rsidR="00000000" w:rsidRPr="00DC019F" w:rsidP="00DC019F">
            <w:pPr>
              <w:pStyle w:val="ListBullet2"/>
            </w:pPr>
            <w:r w:rsidRPr="00DC019F">
              <w:t xml:space="preserve">fixing and securing  </w:t>
            </w:r>
          </w:p>
          <w:p w:rsidR="00000000" w:rsidRPr="00DC019F" w:rsidP="00DC019F">
            <w:pPr>
              <w:pStyle w:val="ListBullet2"/>
            </w:pPr>
            <w:r w:rsidRPr="00DC019F">
              <w:t>placement of power sources and leads</w:t>
            </w:r>
          </w:p>
          <w:p w:rsidR="00000000" w:rsidP="00DC019F">
            <w:pPr>
              <w:pStyle w:val="ListBullet2"/>
              <w:rPr>
                <w:lang w:val="en-NZ"/>
              </w:rPr>
            </w:pPr>
            <w:r w:rsidRPr="00DC019F">
              <w:t>ergonomics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Range of customers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aged and the elderly </w:t>
            </w:r>
          </w:p>
          <w:p w:rsidR="00000000" w:rsidRPr="00DC019F" w:rsidP="00DC019F">
            <w:pPr>
              <w:pStyle w:val="ListBullet"/>
            </w:pPr>
            <w:r w:rsidRPr="00DC019F">
              <w:t xml:space="preserve">people with disabilities </w:t>
            </w:r>
          </w:p>
          <w:p w:rsidR="00000000" w:rsidRPr="00DC019F" w:rsidP="00DC019F">
            <w:pPr>
              <w:pStyle w:val="ListBullet"/>
            </w:pPr>
            <w:r w:rsidRPr="00DC019F">
              <w:t xml:space="preserve">children </w:t>
            </w:r>
          </w:p>
          <w:p w:rsidR="00000000" w:rsidP="00DC019F">
            <w:pPr>
              <w:pStyle w:val="ListBullet"/>
              <w:rPr>
                <w:lang w:val="en-NZ"/>
              </w:rPr>
            </w:pPr>
            <w:r w:rsidRPr="00DC019F">
              <w:t>adults</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Potent</w:t>
            </w:r>
            <w:r w:rsidRPr="00DC019F">
              <w:rPr>
                <w:rStyle w:val="SpecialBold"/>
              </w:rPr>
              <w:t>ial hazards to customers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allergies to materials </w:t>
            </w:r>
          </w:p>
          <w:p w:rsidR="00000000" w:rsidRPr="00DC019F" w:rsidP="00DC019F">
            <w:pPr>
              <w:pStyle w:val="ListBullet"/>
            </w:pPr>
            <w:r w:rsidRPr="00DC019F">
              <w:t xml:space="preserve">injury from materials or components </w:t>
            </w:r>
          </w:p>
          <w:p w:rsidR="00000000" w:rsidRPr="00DC019F" w:rsidP="00DC019F">
            <w:pPr>
              <w:pStyle w:val="ListBullet"/>
            </w:pPr>
            <w:r w:rsidRPr="00DC019F">
              <w:t xml:space="preserve">injury due to design faults </w:t>
            </w:r>
          </w:p>
          <w:p w:rsidR="00000000" w:rsidRPr="00DC019F" w:rsidP="00DC019F">
            <w:pPr>
              <w:pStyle w:val="ListBullet"/>
            </w:pPr>
            <w:r w:rsidRPr="00DC019F">
              <w:t xml:space="preserve">lack of stability </w:t>
            </w:r>
          </w:p>
          <w:p w:rsidR="00000000" w:rsidRPr="00DC019F" w:rsidP="00DC019F">
            <w:pPr>
              <w:pStyle w:val="ListBullet"/>
            </w:pPr>
            <w:r w:rsidRPr="00DC019F">
              <w:t>breakages</w:t>
            </w:r>
          </w:p>
          <w:p w:rsidR="00000000" w:rsidRPr="00DC019F" w:rsidP="00DC019F">
            <w:pPr>
              <w:pStyle w:val="ListBullet"/>
            </w:pPr>
            <w:r w:rsidRPr="00DC019F">
              <w:t xml:space="preserve">difficult to handle or install effects </w:t>
            </w:r>
          </w:p>
          <w:p w:rsidR="00000000" w:rsidP="00DC019F">
            <w:pPr>
              <w:pStyle w:val="ListBullet"/>
              <w:rPr>
                <w:lang w:val="en-NZ"/>
              </w:rPr>
            </w:pPr>
            <w:r w:rsidRPr="00DC019F">
              <w:t>electric shock</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C019F">
            <w:pPr>
              <w:pStyle w:val="ListBullet"/>
              <w:rPr>
                <w:lang w:val="en-NZ"/>
              </w:rPr>
            </w:pPr>
            <w:r w:rsidRPr="00DC019F">
              <w:t xml:space="preserve">that </w:t>
            </w:r>
            <w:r w:rsidRPr="00DC019F">
              <w:t xml:space="preserve">prescribed under legislation, regulations and enterprise policies and practices </w:t>
            </w:r>
          </w:p>
        </w:tc>
      </w:tr>
      <w:tr w:rsidTr="00DC019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C019F">
            <w:pPr>
              <w:pStyle w:val="BodyText"/>
              <w:rPr>
                <w:lang w:val="en-NZ"/>
              </w:rPr>
            </w:pPr>
            <w:r w:rsidRPr="00DC019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C019F" w:rsidP="00DC019F">
            <w:pPr>
              <w:pStyle w:val="ListBullet"/>
            </w:pPr>
            <w:r w:rsidRPr="00DC019F">
              <w:t xml:space="preserve">work instructions, including plans, drawings and designs </w:t>
            </w:r>
          </w:p>
          <w:p w:rsidR="00000000" w:rsidRPr="00DC019F" w:rsidP="00DC019F">
            <w:pPr>
              <w:pStyle w:val="ListBullet"/>
            </w:pPr>
            <w:r w:rsidRPr="00DC019F">
              <w:t xml:space="preserve">workplace procedures relating to reporting and communication </w:t>
            </w:r>
          </w:p>
          <w:p w:rsidR="00000000" w:rsidRPr="00DC019F" w:rsidP="00DC019F">
            <w:pPr>
              <w:pStyle w:val="ListBullet"/>
            </w:pPr>
            <w:r w:rsidRPr="00DC019F">
              <w:t>manufacturer specifications and operational procedures</w:t>
            </w:r>
          </w:p>
        </w:tc>
      </w:tr>
    </w:tbl>
    <w:p w:rsidR="00000000" w:rsidRPr="00DC019F" w:rsidP="00DC019F">
      <w:pPr>
        <w:pStyle w:val="BodyText"/>
      </w:pPr>
    </w:p>
    <w:p w:rsidR="00000000" w:rsidRPr="00DC019F" w:rsidP="00DC019F">
      <w:pPr>
        <w:pStyle w:val="AllowPageBreak"/>
      </w:pPr>
    </w:p>
    <w:p w:rsidR="00000000" w:rsidRPr="00DC019F" w:rsidP="00DC019F">
      <w:pPr>
        <w:pStyle w:val="Heading1"/>
      </w:pPr>
      <w:bookmarkStart w:id="9" w:name="O_628999"/>
      <w:bookmarkEnd w:id="9"/>
      <w:r w:rsidRPr="00DC019F">
        <w:t>Unit Mapping Information</w:t>
      </w:r>
    </w:p>
    <w:p w:rsidR="00000000" w:rsidRPr="00DC019F" w:rsidP="00DC019F">
      <w:pPr>
        <w:pStyle w:val="BodyText"/>
      </w:pPr>
      <w:r w:rsidRPr="00DC019F">
        <w:t>Supersedes and is equivalent to LMFID4011A Determine occupational health safety (OHS) implications of interior effects.</w:t>
      </w:r>
    </w:p>
    <w:p w:rsidR="00000000" w:rsidRPr="00DC019F" w:rsidP="00DC019F">
      <w:pPr>
        <w:pStyle w:val="AllowPageBreak"/>
      </w:pPr>
    </w:p>
    <w:p w:rsidR="00000000" w:rsidRPr="00DC019F" w:rsidP="00DC019F">
      <w:pPr>
        <w:pStyle w:val="Heading1"/>
      </w:pPr>
      <w:bookmarkStart w:id="10" w:name="O_628992"/>
      <w:bookmarkEnd w:id="10"/>
      <w:r w:rsidRPr="00DC019F">
        <w:t>Links</w:t>
      </w:r>
    </w:p>
    <w:p w:rsidR="00000000" w:rsidRPr="00DC019F" w:rsidP="00DC019F">
      <w:pPr>
        <w:pStyle w:val="BodyText"/>
      </w:pPr>
      <w:r w:rsidRPr="00DC019F">
        <w:t>Companion Volu</w:t>
      </w:r>
      <w:r w:rsidRPr="00DC019F">
        <w:t>me implementation guides are found in VETNet - https://vetnet.education.gov.au/Pages/TrainingDocs.aspx?q=0601ab95-583a-4e93-b2d4-cfb27b03ed73</w:t>
      </w:r>
    </w:p>
    <w:p w:rsidR="00000000" w:rsidRPr="00DC019F" w:rsidP="00DC019F"/>
    <w:sectPr w:rsidSect="00DC0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9F" w:rsidRPr="003F1913" w:rsidP="003F1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13" w:rsidP="00DC0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1913" w:rsidP="00DC019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1913" w:rsidP="00DC0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19F" w:rsidRPr="003F1913" w:rsidP="003F19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913" w:rsidRPr="002D2AF8" w:rsidP="00DC019F">
    <w:pPr>
      <w:pStyle w:val="Header"/>
      <w:framePr w:wrap="around"/>
    </w:pPr>
    <w:r>
      <w:fldChar w:fldCharType="begin"/>
    </w:r>
    <w:r>
      <w:instrText xml:space="preserve"> TITLE   \* MERGEFORMAT </w:instrText>
    </w:r>
    <w:r>
      <w:fldChar w:fldCharType="separate"/>
    </w:r>
    <w:r>
      <w:t>MSFID4011 Determine work health and safety (WHS) implications of interior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F1913" w:rsidP="00DC0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C6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E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D8D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19F"/>
    <w:pPr>
      <w:spacing w:before="360" w:after="60"/>
      <w:outlineLvl w:val="0"/>
    </w:pPr>
    <w:rPr>
      <w:sz w:val="32"/>
    </w:rPr>
  </w:style>
  <w:style w:type="paragraph" w:styleId="Heading2">
    <w:name w:val="heading 2"/>
    <w:basedOn w:val="HeadingBase"/>
    <w:next w:val="BodyText"/>
    <w:link w:val="Heading2Char"/>
    <w:qFormat/>
    <w:rsid w:val="00DC019F"/>
    <w:pPr>
      <w:keepLines/>
      <w:spacing w:before="240" w:after="120"/>
      <w:outlineLvl w:val="1"/>
    </w:pPr>
    <w:rPr>
      <w:sz w:val="28"/>
      <w:szCs w:val="40"/>
    </w:rPr>
  </w:style>
  <w:style w:type="paragraph" w:styleId="Heading3">
    <w:name w:val="heading 3"/>
    <w:basedOn w:val="HeadingBase"/>
    <w:next w:val="BodyText"/>
    <w:link w:val="Heading3Char"/>
    <w:qFormat/>
    <w:rsid w:val="00DC019F"/>
    <w:pPr>
      <w:spacing w:before="180" w:after="120"/>
      <w:outlineLvl w:val="2"/>
    </w:pPr>
    <w:rPr>
      <w:spacing w:val="-10"/>
      <w:kern w:val="32"/>
    </w:rPr>
  </w:style>
  <w:style w:type="paragraph" w:styleId="Heading4">
    <w:name w:val="heading 4"/>
    <w:basedOn w:val="HeadingBase"/>
    <w:next w:val="BodyText"/>
    <w:link w:val="Heading4Char"/>
    <w:qFormat/>
    <w:rsid w:val="00DC019F"/>
    <w:pPr>
      <w:spacing w:before="160" w:after="120"/>
      <w:outlineLvl w:val="3"/>
    </w:pPr>
    <w:rPr>
      <w:sz w:val="22"/>
    </w:rPr>
  </w:style>
  <w:style w:type="paragraph" w:styleId="Heading5">
    <w:name w:val="heading 5"/>
    <w:basedOn w:val="HeadingBase"/>
    <w:next w:val="Normal"/>
    <w:link w:val="Heading5Char"/>
    <w:qFormat/>
    <w:rsid w:val="00DC019F"/>
    <w:pPr>
      <w:spacing w:before="80"/>
      <w:outlineLvl w:val="4"/>
    </w:pPr>
    <w:rPr>
      <w:color w:val="918585"/>
      <w:sz w:val="20"/>
    </w:rPr>
  </w:style>
  <w:style w:type="paragraph" w:styleId="Heading6">
    <w:name w:val="heading 6"/>
    <w:basedOn w:val="HeadingBase"/>
    <w:next w:val="Normal"/>
    <w:link w:val="Heading6Char"/>
    <w:qFormat/>
    <w:rsid w:val="00DC019F"/>
    <w:pPr>
      <w:spacing w:before="60"/>
      <w:outlineLvl w:val="5"/>
    </w:pPr>
    <w:rPr>
      <w:color w:val="918585"/>
      <w:sz w:val="20"/>
    </w:rPr>
  </w:style>
  <w:style w:type="paragraph" w:styleId="Heading7">
    <w:name w:val="heading 7"/>
    <w:basedOn w:val="Normal"/>
    <w:next w:val="Normal"/>
    <w:link w:val="Heading7Char"/>
    <w:qFormat/>
    <w:rsid w:val="00DC019F"/>
    <w:pPr>
      <w:ind w:left="720"/>
      <w:outlineLvl w:val="6"/>
    </w:pPr>
    <w:rPr>
      <w:i/>
    </w:rPr>
  </w:style>
  <w:style w:type="paragraph" w:styleId="Heading8">
    <w:name w:val="heading 8"/>
    <w:basedOn w:val="Normal"/>
    <w:next w:val="Normal"/>
    <w:link w:val="Heading8Char"/>
    <w:qFormat/>
    <w:rsid w:val="00DC019F"/>
    <w:pPr>
      <w:ind w:left="720"/>
      <w:outlineLvl w:val="7"/>
    </w:pPr>
    <w:rPr>
      <w:i/>
    </w:rPr>
  </w:style>
  <w:style w:type="paragraph" w:styleId="Heading9">
    <w:name w:val="heading 9"/>
    <w:basedOn w:val="Normal"/>
    <w:next w:val="Normal"/>
    <w:link w:val="Heading9Char"/>
    <w:qFormat/>
    <w:rsid w:val="00DC019F"/>
    <w:pPr>
      <w:ind w:left="720"/>
      <w:outlineLvl w:val="8"/>
    </w:pPr>
    <w:rPr>
      <w:i/>
    </w:rPr>
  </w:style>
  <w:style w:type="character" w:default="1" w:styleId="DefaultParagraphFont">
    <w:name w:val="Default Paragraph Font"/>
    <w:uiPriority w:val="1"/>
    <w:unhideWhenUsed/>
    <w:rsid w:val="00DC0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19F"/>
  </w:style>
  <w:style w:type="character" w:customStyle="1" w:styleId="Heading1Char">
    <w:name w:val="Heading 1 Char"/>
    <w:basedOn w:val="DefaultParagraphFont"/>
    <w:link w:val="Heading1"/>
    <w:rsid w:val="00DC019F"/>
    <w:rPr>
      <w:rFonts w:ascii="Times New Roman" w:eastAsia="Times New Roman" w:hAnsi="Times New Roman" w:cs="Times New Roman"/>
      <w:b/>
      <w:sz w:val="32"/>
      <w:szCs w:val="20"/>
      <w:lang w:eastAsia="en-US"/>
    </w:rPr>
  </w:style>
  <w:style w:type="paragraph" w:styleId="BodyText">
    <w:name w:val="Body Text"/>
    <w:basedOn w:val="Normal"/>
    <w:link w:val="BodyTextChar"/>
    <w:rsid w:val="00DC0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19F"/>
    <w:rPr>
      <w:rFonts w:ascii="Times New Roman" w:eastAsia="Times New Roman" w:hAnsi="Times New Roman" w:cs="Times New Roman"/>
      <w:sz w:val="24"/>
      <w:lang w:eastAsia="en-US"/>
    </w:rPr>
  </w:style>
  <w:style w:type="paragraph" w:styleId="ListBullet">
    <w:name w:val="List Bullet"/>
    <w:basedOn w:val="List"/>
    <w:rsid w:val="00DC019F"/>
    <w:pPr>
      <w:numPr>
        <w:numId w:val="13"/>
      </w:numPr>
      <w:tabs>
        <w:tab w:val="clear" w:pos="340"/>
      </w:tabs>
      <w:spacing w:before="40" w:after="40"/>
    </w:pPr>
  </w:style>
  <w:style w:type="character" w:customStyle="1" w:styleId="SpecialBold">
    <w:name w:val="Special Bold"/>
    <w:basedOn w:val="DefaultParagraphFont"/>
    <w:rsid w:val="00DC019F"/>
    <w:rPr>
      <w:b/>
      <w:spacing w:val="0"/>
    </w:rPr>
  </w:style>
  <w:style w:type="paragraph" w:styleId="ListBullet2">
    <w:name w:val="List Bullet 2"/>
    <w:basedOn w:val="List2"/>
    <w:rsid w:val="00DC019F"/>
    <w:pPr>
      <w:numPr>
        <w:numId w:val="14"/>
      </w:numPr>
      <w:tabs>
        <w:tab w:val="clear" w:pos="680"/>
      </w:tabs>
    </w:pPr>
  </w:style>
  <w:style w:type="paragraph" w:customStyle="1" w:styleId="SuperHeading">
    <w:name w:val="SuperHeading"/>
    <w:basedOn w:val="Normal"/>
    <w:rsid w:val="00DC019F"/>
    <w:pPr>
      <w:spacing w:before="240" w:after="120"/>
      <w:outlineLvl w:val="0"/>
    </w:pPr>
    <w:rPr>
      <w:rFonts w:ascii="Times New Roman" w:hAnsi="Times New Roman"/>
      <w:b/>
      <w:sz w:val="32"/>
    </w:rPr>
  </w:style>
  <w:style w:type="paragraph" w:customStyle="1" w:styleId="AllowPageBreak">
    <w:name w:val="AllowPageBreak"/>
    <w:rsid w:val="00DC0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19F"/>
    <w:rPr>
      <w:rFonts w:ascii="Courier New" w:eastAsia="Times New Roman" w:hAnsi="Courier New" w:cs="Times New Roman"/>
      <w:i/>
      <w:szCs w:val="20"/>
      <w:lang w:eastAsia="en-US"/>
    </w:rPr>
  </w:style>
  <w:style w:type="paragraph" w:customStyle="1" w:styleId="HeadingBase">
    <w:name w:val="Heading Base"/>
    <w:rsid w:val="00DC0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19F"/>
    <w:pPr>
      <w:tabs>
        <w:tab w:val="right" w:leader="dot" w:pos="9072"/>
      </w:tabs>
      <w:ind w:left="567"/>
    </w:pPr>
    <w:rPr>
      <w:szCs w:val="22"/>
    </w:rPr>
  </w:style>
  <w:style w:type="paragraph" w:customStyle="1" w:styleId="TOCBase">
    <w:name w:val="TOC Base"/>
    <w:rsid w:val="00DC0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19F"/>
    <w:pPr>
      <w:tabs>
        <w:tab w:val="right" w:leader="dot" w:pos="9072"/>
      </w:tabs>
      <w:spacing w:before="40" w:after="40"/>
      <w:ind w:left="284"/>
    </w:pPr>
    <w:rPr>
      <w:rFonts w:ascii="Times New Roman" w:hAnsi="Times New Roman"/>
    </w:rPr>
  </w:style>
  <w:style w:type="paragraph" w:styleId="TOC1">
    <w:name w:val="toc 1"/>
    <w:basedOn w:val="TOCBase"/>
    <w:next w:val="Normal"/>
    <w:rsid w:val="00DC0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19F"/>
    <w:rPr>
      <w:rFonts w:ascii="Times New Roman" w:eastAsia="Times New Roman" w:hAnsi="Times New Roman" w:cs="Times New Roman"/>
      <w:sz w:val="16"/>
      <w:lang w:eastAsia="en-US"/>
    </w:rPr>
  </w:style>
  <w:style w:type="paragraph" w:styleId="Title">
    <w:name w:val="Title"/>
    <w:basedOn w:val="HeadingBase"/>
    <w:link w:val="TitleChar"/>
    <w:qFormat/>
    <w:rsid w:val="00DC019F"/>
    <w:pPr>
      <w:spacing w:before="5040"/>
      <w:jc w:val="center"/>
    </w:pPr>
    <w:rPr>
      <w:sz w:val="48"/>
      <w:szCs w:val="72"/>
      <w:lang w:val="en-US"/>
    </w:rPr>
  </w:style>
  <w:style w:type="character" w:customStyle="1" w:styleId="TitleChar">
    <w:name w:val="Title Char"/>
    <w:basedOn w:val="DefaultParagraphFont"/>
    <w:link w:val="Title"/>
    <w:rsid w:val="00DC0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19F"/>
    <w:pPr>
      <w:tabs>
        <w:tab w:val="left" w:pos="3600"/>
        <w:tab w:val="left" w:pos="3958"/>
      </w:tabs>
    </w:pPr>
  </w:style>
  <w:style w:type="paragraph" w:styleId="List">
    <w:name w:val="List"/>
    <w:basedOn w:val="BodyText"/>
    <w:next w:val="BodyText"/>
    <w:rsid w:val="00DC019F"/>
    <w:pPr>
      <w:tabs>
        <w:tab w:val="left" w:pos="340"/>
      </w:tabs>
      <w:spacing w:before="60" w:after="60"/>
      <w:ind w:left="340" w:hanging="340"/>
    </w:pPr>
  </w:style>
  <w:style w:type="paragraph" w:customStyle="1" w:styleId="Note">
    <w:name w:val="Note"/>
    <w:basedOn w:val="BodyText"/>
    <w:rsid w:val="00DC0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19F"/>
    <w:pPr>
      <w:framePr w:wrap="auto" w:hAnchor="text" w:y="6049"/>
    </w:pPr>
    <w:rPr>
      <w:color w:val="000000"/>
      <w:sz w:val="40"/>
    </w:rPr>
  </w:style>
  <w:style w:type="paragraph" w:customStyle="1" w:styleId="TOCTitle">
    <w:name w:val="TOCTitle"/>
    <w:basedOn w:val="Heading1"/>
    <w:rsid w:val="00DC019F"/>
    <w:pPr>
      <w:spacing w:after="240"/>
      <w:jc w:val="center"/>
      <w:outlineLvl w:val="9"/>
    </w:pPr>
    <w:rPr>
      <w:caps/>
    </w:rPr>
  </w:style>
  <w:style w:type="paragraph" w:customStyle="1" w:styleId="Version">
    <w:name w:val="Version"/>
    <w:rsid w:val="00DC0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19F"/>
    <w:pPr>
      <w:keepNext w:val="0"/>
      <w:tabs>
        <w:tab w:val="right" w:pos="4176"/>
      </w:tabs>
      <w:ind w:left="198" w:hanging="198"/>
    </w:pPr>
    <w:rPr>
      <w:rFonts w:ascii="Garamond" w:hAnsi="Garamond"/>
    </w:rPr>
  </w:style>
  <w:style w:type="paragraph" w:styleId="IndexHeading">
    <w:name w:val="index heading"/>
    <w:basedOn w:val="Normal"/>
    <w:next w:val="Index1"/>
    <w:semiHidden/>
    <w:rsid w:val="00DC019F"/>
    <w:pPr>
      <w:spacing w:before="120" w:after="120"/>
    </w:pPr>
    <w:rPr>
      <w:rFonts w:ascii="Arial" w:hAnsi="Arial"/>
      <w:b/>
      <w:color w:val="918585"/>
      <w:sz w:val="24"/>
    </w:rPr>
  </w:style>
  <w:style w:type="paragraph" w:styleId="Header">
    <w:name w:val="header"/>
    <w:basedOn w:val="Normal"/>
    <w:link w:val="HeaderChar"/>
    <w:rsid w:val="00DC0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19F"/>
    <w:rPr>
      <w:rFonts w:ascii="Times New Roman" w:eastAsia="Times New Roman" w:hAnsi="Times New Roman" w:cs="Times New Roman"/>
      <w:sz w:val="16"/>
      <w:szCs w:val="20"/>
      <w:lang w:val="en-GB" w:eastAsia="en-US"/>
    </w:rPr>
  </w:style>
  <w:style w:type="paragraph" w:customStyle="1" w:styleId="Chapter">
    <w:name w:val="Chapter"/>
    <w:basedOn w:val="Normal"/>
    <w:rsid w:val="00DC019F"/>
    <w:pPr>
      <w:spacing w:before="240"/>
    </w:pPr>
    <w:rPr>
      <w:rFonts w:ascii="Times New Roman" w:hAnsi="Times New Roman"/>
      <w:smallCaps/>
      <w:spacing w:val="80"/>
      <w:sz w:val="28"/>
    </w:rPr>
  </w:style>
  <w:style w:type="paragraph" w:customStyle="1" w:styleId="InChapter">
    <w:name w:val="InChapter"/>
    <w:basedOn w:val="Heading3"/>
    <w:rsid w:val="00DC019F"/>
    <w:pPr>
      <w:spacing w:after="240"/>
      <w:outlineLvl w:val="9"/>
    </w:pPr>
    <w:rPr>
      <w:noProof/>
    </w:rPr>
  </w:style>
  <w:style w:type="paragraph" w:styleId="Index2">
    <w:name w:val="index 2"/>
    <w:basedOn w:val="Normal"/>
    <w:next w:val="Normal"/>
    <w:semiHidden/>
    <w:rsid w:val="00DC019F"/>
    <w:pPr>
      <w:tabs>
        <w:tab w:val="right" w:pos="4176"/>
      </w:tabs>
      <w:ind w:left="568" w:hanging="284"/>
    </w:pPr>
    <w:rPr>
      <w:rFonts w:ascii="Garamond" w:hAnsi="Garamond"/>
    </w:rPr>
  </w:style>
  <w:style w:type="paragraph" w:customStyle="1" w:styleId="Byline">
    <w:name w:val="Byline"/>
    <w:rsid w:val="00DC0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19F"/>
    <w:pPr>
      <w:tabs>
        <w:tab w:val="clear" w:pos="3600"/>
        <w:tab w:val="clear" w:pos="3958"/>
      </w:tabs>
      <w:jc w:val="right"/>
    </w:pPr>
  </w:style>
  <w:style w:type="character" w:styleId="Emphasis">
    <w:name w:val="Emphasis"/>
    <w:basedOn w:val="DefaultParagraphFont"/>
    <w:qFormat/>
    <w:rsid w:val="00DC019F"/>
    <w:rPr>
      <w:i/>
    </w:rPr>
  </w:style>
  <w:style w:type="paragraph" w:styleId="Caption">
    <w:name w:val="caption"/>
    <w:basedOn w:val="BodyText"/>
    <w:next w:val="Normal"/>
    <w:qFormat/>
    <w:rsid w:val="00DC019F"/>
    <w:pPr>
      <w:framePr w:w="2268" w:hSpace="181" w:vSpace="181" w:wrap="around" w:vAnchor="text" w:hAnchor="page" w:x="1135" w:y="285" w:anchorLock="1"/>
    </w:pPr>
    <w:rPr>
      <w:i/>
    </w:rPr>
  </w:style>
  <w:style w:type="paragraph" w:customStyle="1" w:styleId="MiniTOCTitle">
    <w:name w:val="MiniTOCTitle"/>
    <w:basedOn w:val="Heading4"/>
    <w:rsid w:val="00DC019F"/>
    <w:pPr>
      <w:spacing w:before="240"/>
      <w:outlineLvl w:val="9"/>
    </w:pPr>
    <w:rPr>
      <w:noProof/>
      <w:sz w:val="24"/>
    </w:rPr>
  </w:style>
  <w:style w:type="paragraph" w:customStyle="1" w:styleId="MiniTOCItem">
    <w:name w:val="MiniTOCItem"/>
    <w:basedOn w:val="ListBullet"/>
    <w:rsid w:val="00DC019F"/>
    <w:pPr>
      <w:numPr>
        <w:numId w:val="0"/>
      </w:numPr>
      <w:tabs>
        <w:tab w:val="right" w:leader="dot" w:pos="6521"/>
      </w:tabs>
      <w:spacing w:before="0" w:after="0"/>
    </w:pPr>
  </w:style>
  <w:style w:type="paragraph" w:customStyle="1" w:styleId="TOFTitle">
    <w:name w:val="TOFTitle"/>
    <w:basedOn w:val="TOCTitle"/>
    <w:rsid w:val="00DC019F"/>
  </w:style>
  <w:style w:type="paragraph" w:styleId="TableofFigures">
    <w:name w:val="table of figures"/>
    <w:basedOn w:val="Normal"/>
    <w:next w:val="Normal"/>
    <w:semiHidden/>
    <w:rsid w:val="00DC019F"/>
    <w:pPr>
      <w:tabs>
        <w:tab w:val="right" w:leader="dot" w:pos="9072"/>
      </w:tabs>
      <w:ind w:left="970" w:hanging="403"/>
    </w:pPr>
    <w:rPr>
      <w:rFonts w:ascii="Times New Roman" w:hAnsi="Times New Roman"/>
      <w:b/>
    </w:rPr>
  </w:style>
  <w:style w:type="paragraph" w:styleId="ListNumber">
    <w:name w:val="List Number"/>
    <w:basedOn w:val="List"/>
    <w:rsid w:val="00DC019F"/>
    <w:pPr>
      <w:numPr>
        <w:numId w:val="11"/>
      </w:numPr>
    </w:pPr>
  </w:style>
  <w:style w:type="character" w:customStyle="1" w:styleId="WingdingSymbols">
    <w:name w:val="Wingding Symbols"/>
    <w:rsid w:val="00DC019F"/>
    <w:rPr>
      <w:rFonts w:ascii="Wingdings" w:hAnsi="Wingdings"/>
    </w:rPr>
  </w:style>
  <w:style w:type="paragraph" w:customStyle="1" w:styleId="TableHeading">
    <w:name w:val="Table Heading"/>
    <w:basedOn w:val="HeadingBase"/>
    <w:rsid w:val="00DC019F"/>
    <w:pPr>
      <w:keepLines/>
      <w:pBdr>
        <w:bottom w:val="single" w:sz="6" w:space="1" w:color="918585"/>
      </w:pBdr>
      <w:spacing w:before="240"/>
    </w:pPr>
  </w:style>
  <w:style w:type="character" w:customStyle="1" w:styleId="HotSpot">
    <w:name w:val="HotSpot"/>
    <w:rsid w:val="00DC019F"/>
    <w:rPr>
      <w:color w:val="0033CC"/>
      <w:u w:val="none"/>
    </w:rPr>
  </w:style>
  <w:style w:type="paragraph" w:customStyle="1" w:styleId="BodyTextRight">
    <w:name w:val="Body Text Right"/>
    <w:basedOn w:val="BodyText"/>
    <w:rsid w:val="00DC019F"/>
    <w:pPr>
      <w:spacing w:before="0" w:after="0"/>
      <w:jc w:val="right"/>
    </w:pPr>
  </w:style>
  <w:style w:type="paragraph" w:styleId="Index3">
    <w:name w:val="index 3"/>
    <w:basedOn w:val="ListNumber2"/>
    <w:next w:val="Normal"/>
    <w:semiHidden/>
    <w:rsid w:val="00DC019F"/>
    <w:pPr>
      <w:numPr>
        <w:numId w:val="0"/>
      </w:numPr>
      <w:tabs>
        <w:tab w:val="right" w:leader="dot" w:pos="4176"/>
      </w:tabs>
    </w:pPr>
  </w:style>
  <w:style w:type="paragraph" w:styleId="ListNumber2">
    <w:name w:val="List Number 2"/>
    <w:basedOn w:val="List2"/>
    <w:rsid w:val="00DC019F"/>
    <w:pPr>
      <w:numPr>
        <w:numId w:val="10"/>
      </w:numPr>
      <w:tabs>
        <w:tab w:val="clear" w:pos="1060"/>
      </w:tabs>
    </w:pPr>
  </w:style>
  <w:style w:type="paragraph" w:customStyle="1" w:styleId="MarginNote">
    <w:name w:val="Margin Note"/>
    <w:basedOn w:val="BodyText"/>
    <w:rsid w:val="00DC0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19F"/>
    <w:rPr>
      <w:sz w:val="32"/>
    </w:rPr>
  </w:style>
  <w:style w:type="paragraph" w:customStyle="1" w:styleId="HeadingProcedure">
    <w:name w:val="Heading Procedure"/>
    <w:basedOn w:val="HeadingBase"/>
    <w:next w:val="Normal"/>
    <w:rsid w:val="00DC019F"/>
    <w:pPr>
      <w:tabs>
        <w:tab w:val="left" w:pos="0"/>
      </w:tabs>
      <w:spacing w:before="120" w:after="60"/>
    </w:pPr>
    <w:rPr>
      <w:i/>
      <w:color w:val="918585"/>
      <w:sz w:val="22"/>
    </w:rPr>
  </w:style>
  <w:style w:type="paragraph" w:customStyle="1" w:styleId="TableBodyText">
    <w:name w:val="Table Body Text"/>
    <w:basedOn w:val="BodyText"/>
    <w:rsid w:val="00DC019F"/>
    <w:pPr>
      <w:spacing w:before="60" w:after="60"/>
    </w:pPr>
  </w:style>
  <w:style w:type="paragraph" w:styleId="ListContinue">
    <w:name w:val="List Continue"/>
    <w:basedOn w:val="List"/>
    <w:rsid w:val="00DC019F"/>
    <w:pPr>
      <w:ind w:firstLine="0"/>
    </w:pPr>
  </w:style>
  <w:style w:type="paragraph" w:customStyle="1" w:styleId="ListNote">
    <w:name w:val="List Note"/>
    <w:basedOn w:val="List"/>
    <w:rsid w:val="00DC019F"/>
    <w:pPr>
      <w:pBdr>
        <w:top w:val="single" w:sz="6" w:space="2" w:color="918585"/>
        <w:bottom w:val="single" w:sz="6" w:space="2" w:color="918585"/>
      </w:pBdr>
      <w:tabs>
        <w:tab w:val="left" w:pos="1021"/>
      </w:tabs>
      <w:ind w:firstLine="0"/>
    </w:pPr>
  </w:style>
  <w:style w:type="paragraph" w:customStyle="1" w:styleId="Warning">
    <w:name w:val="Warning"/>
    <w:basedOn w:val="BodyText"/>
    <w:rsid w:val="00DC019F"/>
    <w:pPr>
      <w:shd w:val="clear" w:color="auto" w:fill="D9D9D9"/>
      <w:tabs>
        <w:tab w:val="left" w:pos="992"/>
      </w:tabs>
      <w:ind w:left="119" w:right="119"/>
    </w:pPr>
    <w:rPr>
      <w:sz w:val="20"/>
    </w:rPr>
  </w:style>
  <w:style w:type="paragraph" w:customStyle="1" w:styleId="MarginIcons">
    <w:name w:val="Margin Icons"/>
    <w:basedOn w:val="BodyText"/>
    <w:rsid w:val="00DC0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19F"/>
    <w:rPr>
      <w:rFonts w:ascii="Courier New" w:hAnsi="Courier New"/>
    </w:rPr>
  </w:style>
  <w:style w:type="paragraph" w:customStyle="1" w:styleId="NoteBullet">
    <w:name w:val="Note Bullet"/>
    <w:basedOn w:val="Note"/>
    <w:rsid w:val="00DC019F"/>
    <w:pPr>
      <w:tabs>
        <w:tab w:val="clear" w:pos="680"/>
      </w:tabs>
      <w:spacing w:before="60" w:after="60"/>
    </w:pPr>
  </w:style>
  <w:style w:type="paragraph" w:customStyle="1" w:styleId="SubHeading2">
    <w:name w:val="SubHeading2"/>
    <w:basedOn w:val="HeadingBase"/>
    <w:rsid w:val="00DC019F"/>
    <w:pPr>
      <w:spacing w:before="240" w:after="60"/>
    </w:pPr>
    <w:rPr>
      <w:sz w:val="20"/>
    </w:rPr>
  </w:style>
  <w:style w:type="paragraph" w:customStyle="1" w:styleId="SubHeading1">
    <w:name w:val="SubHeading1"/>
    <w:basedOn w:val="HeadingBase"/>
    <w:rsid w:val="00DC019F"/>
    <w:pPr>
      <w:spacing w:before="240" w:after="60"/>
    </w:pPr>
    <w:rPr>
      <w:color w:val="918585"/>
      <w:sz w:val="22"/>
    </w:rPr>
  </w:style>
  <w:style w:type="paragraph" w:customStyle="1" w:styleId="SideHeading">
    <w:name w:val="Side Heading"/>
    <w:basedOn w:val="HeadingBase"/>
    <w:rsid w:val="00DC0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19F"/>
    <w:pPr>
      <w:numPr>
        <w:numId w:val="12"/>
      </w:numPr>
    </w:pPr>
  </w:style>
  <w:style w:type="paragraph" w:styleId="PlainText">
    <w:name w:val="Plain Text"/>
    <w:basedOn w:val="Normal"/>
    <w:link w:val="PlainTextChar"/>
    <w:rsid w:val="00DC019F"/>
    <w:rPr>
      <w:sz w:val="20"/>
    </w:rPr>
  </w:style>
  <w:style w:type="character" w:customStyle="1" w:styleId="PlainTextChar">
    <w:name w:val="Plain Text Char"/>
    <w:basedOn w:val="DefaultParagraphFont"/>
    <w:link w:val="PlainText"/>
    <w:rsid w:val="00DC019F"/>
    <w:rPr>
      <w:rFonts w:ascii="Courier New" w:eastAsia="Times New Roman" w:hAnsi="Courier New" w:cs="Times New Roman"/>
      <w:sz w:val="20"/>
      <w:szCs w:val="20"/>
      <w:lang w:eastAsia="en-US"/>
    </w:rPr>
  </w:style>
  <w:style w:type="character" w:customStyle="1" w:styleId="MenuOption">
    <w:name w:val="Menu Option"/>
    <w:basedOn w:val="DefaultParagraphFont"/>
    <w:rsid w:val="00DC019F"/>
    <w:rPr>
      <w:b/>
      <w:smallCaps/>
    </w:rPr>
  </w:style>
  <w:style w:type="paragraph" w:customStyle="1" w:styleId="TableListNumber">
    <w:name w:val="Table List Number"/>
    <w:basedOn w:val="ListNumber"/>
    <w:rsid w:val="00DC019F"/>
    <w:pPr>
      <w:numPr>
        <w:numId w:val="0"/>
      </w:numPr>
    </w:pPr>
  </w:style>
  <w:style w:type="paragraph" w:styleId="TOC4">
    <w:name w:val="toc 4"/>
    <w:basedOn w:val="TOCBase"/>
    <w:next w:val="Normal"/>
    <w:semiHidden/>
    <w:rsid w:val="00DC019F"/>
    <w:pPr>
      <w:tabs>
        <w:tab w:val="right" w:leader="dot" w:pos="9071"/>
      </w:tabs>
      <w:ind w:left="1701"/>
    </w:pPr>
  </w:style>
  <w:style w:type="paragraph" w:customStyle="1" w:styleId="ListAlpha">
    <w:name w:val="List Alpha"/>
    <w:basedOn w:val="List"/>
    <w:rsid w:val="00DC019F"/>
    <w:pPr>
      <w:numPr>
        <w:numId w:val="9"/>
      </w:numPr>
    </w:pPr>
  </w:style>
  <w:style w:type="paragraph" w:customStyle="1" w:styleId="ListAlpha2">
    <w:name w:val="List Alpha 2"/>
    <w:basedOn w:val="List2"/>
    <w:rsid w:val="00DC019F"/>
    <w:pPr>
      <w:numPr>
        <w:numId w:val="8"/>
      </w:numPr>
    </w:pPr>
  </w:style>
  <w:style w:type="paragraph" w:styleId="List2">
    <w:name w:val="List 2"/>
    <w:basedOn w:val="BodyText"/>
    <w:rsid w:val="00DC019F"/>
    <w:pPr>
      <w:tabs>
        <w:tab w:val="left" w:pos="680"/>
      </w:tabs>
      <w:spacing w:before="60" w:after="60"/>
      <w:ind w:left="680" w:hanging="340"/>
    </w:pPr>
  </w:style>
  <w:style w:type="paragraph" w:styleId="List3">
    <w:name w:val="List 3"/>
    <w:basedOn w:val="BodyText"/>
    <w:rsid w:val="00DC019F"/>
    <w:pPr>
      <w:tabs>
        <w:tab w:val="left" w:pos="1021"/>
      </w:tabs>
      <w:spacing w:before="60" w:after="60"/>
      <w:ind w:left="1020" w:hanging="340"/>
    </w:pPr>
  </w:style>
  <w:style w:type="paragraph" w:styleId="List4">
    <w:name w:val="List 4"/>
    <w:basedOn w:val="BodyText"/>
    <w:rsid w:val="00DC019F"/>
    <w:pPr>
      <w:tabs>
        <w:tab w:val="left" w:pos="1361"/>
      </w:tabs>
      <w:spacing w:before="60" w:after="60"/>
      <w:ind w:left="1361" w:hanging="340"/>
    </w:pPr>
  </w:style>
  <w:style w:type="paragraph" w:styleId="List5">
    <w:name w:val="List 5"/>
    <w:basedOn w:val="BodyText"/>
    <w:rsid w:val="00DC019F"/>
    <w:pPr>
      <w:tabs>
        <w:tab w:val="left" w:pos="1701"/>
      </w:tabs>
      <w:spacing w:before="60" w:after="60"/>
      <w:ind w:left="1701" w:hanging="340"/>
    </w:pPr>
  </w:style>
  <w:style w:type="paragraph" w:styleId="ListBullet3">
    <w:name w:val="List Bullet 3"/>
    <w:basedOn w:val="List3"/>
    <w:rsid w:val="00DC019F"/>
    <w:pPr>
      <w:numPr>
        <w:numId w:val="15"/>
      </w:numPr>
      <w:tabs>
        <w:tab w:val="clear" w:pos="1021"/>
      </w:tabs>
      <w:ind w:left="1037" w:hanging="357"/>
    </w:pPr>
  </w:style>
  <w:style w:type="paragraph" w:styleId="ListBullet4">
    <w:name w:val="List Bullet 4"/>
    <w:basedOn w:val="List4"/>
    <w:rsid w:val="00DC019F"/>
    <w:pPr>
      <w:numPr>
        <w:numId w:val="3"/>
      </w:numPr>
      <w:tabs>
        <w:tab w:val="clear" w:pos="1361"/>
      </w:tabs>
    </w:pPr>
  </w:style>
  <w:style w:type="paragraph" w:styleId="ListBullet5">
    <w:name w:val="List Bullet 5"/>
    <w:basedOn w:val="List5"/>
    <w:rsid w:val="00DC019F"/>
    <w:pPr>
      <w:numPr>
        <w:numId w:val="4"/>
      </w:numPr>
    </w:pPr>
  </w:style>
  <w:style w:type="paragraph" w:styleId="ListContinue2">
    <w:name w:val="List Continue 2"/>
    <w:basedOn w:val="List2"/>
    <w:rsid w:val="00DC019F"/>
    <w:pPr>
      <w:ind w:firstLine="0"/>
    </w:pPr>
  </w:style>
  <w:style w:type="paragraph" w:styleId="ListContinue3">
    <w:name w:val="List Continue 3"/>
    <w:basedOn w:val="List3"/>
    <w:rsid w:val="00DC019F"/>
    <w:pPr>
      <w:ind w:left="1021" w:firstLine="0"/>
    </w:pPr>
  </w:style>
  <w:style w:type="paragraph" w:styleId="ListContinue4">
    <w:name w:val="List Continue 4"/>
    <w:basedOn w:val="List4"/>
    <w:rsid w:val="00DC019F"/>
    <w:pPr>
      <w:ind w:firstLine="0"/>
    </w:pPr>
  </w:style>
  <w:style w:type="paragraph" w:styleId="ListContinue5">
    <w:name w:val="List Continue 5"/>
    <w:basedOn w:val="List5"/>
    <w:rsid w:val="00DC019F"/>
    <w:pPr>
      <w:ind w:firstLine="0"/>
    </w:pPr>
  </w:style>
  <w:style w:type="paragraph" w:styleId="ListNumber3">
    <w:name w:val="List Number 3"/>
    <w:basedOn w:val="List3"/>
    <w:rsid w:val="00DC019F"/>
    <w:pPr>
      <w:numPr>
        <w:numId w:val="5"/>
      </w:numPr>
    </w:pPr>
  </w:style>
  <w:style w:type="paragraph" w:styleId="ListNumber4">
    <w:name w:val="List Number 4"/>
    <w:basedOn w:val="List4"/>
    <w:rsid w:val="00DC019F"/>
    <w:pPr>
      <w:numPr>
        <w:numId w:val="6"/>
      </w:numPr>
    </w:pPr>
  </w:style>
  <w:style w:type="paragraph" w:styleId="ListNumber5">
    <w:name w:val="List Number 5"/>
    <w:basedOn w:val="List5"/>
    <w:rsid w:val="00DC019F"/>
    <w:pPr>
      <w:numPr>
        <w:numId w:val="7"/>
      </w:numPr>
    </w:pPr>
  </w:style>
  <w:style w:type="paragraph" w:styleId="BlockText">
    <w:name w:val="Block Text"/>
    <w:basedOn w:val="Normal"/>
    <w:rsid w:val="00DC019F"/>
    <w:pPr>
      <w:spacing w:after="120"/>
      <w:ind w:left="1440" w:right="1440"/>
    </w:pPr>
  </w:style>
  <w:style w:type="character" w:customStyle="1" w:styleId="Subscript">
    <w:name w:val="Subscript"/>
    <w:basedOn w:val="DefaultParagraphFont"/>
    <w:rsid w:val="00DC019F"/>
    <w:rPr>
      <w:sz w:val="16"/>
      <w:vertAlign w:val="subscript"/>
    </w:rPr>
  </w:style>
  <w:style w:type="character" w:customStyle="1" w:styleId="Superscript">
    <w:name w:val="Superscript"/>
    <w:basedOn w:val="DefaultParagraphFont"/>
    <w:rsid w:val="00DC019F"/>
    <w:rPr>
      <w:sz w:val="16"/>
      <w:vertAlign w:val="superscript"/>
    </w:rPr>
  </w:style>
  <w:style w:type="character" w:customStyle="1" w:styleId="Symbols">
    <w:name w:val="Symbols"/>
    <w:basedOn w:val="DefaultParagraphFont"/>
    <w:rsid w:val="00DC019F"/>
    <w:rPr>
      <w:rFonts w:ascii="Symbol" w:hAnsi="Symbol"/>
    </w:rPr>
  </w:style>
  <w:style w:type="character" w:customStyle="1" w:styleId="MenuOptions">
    <w:name w:val="Menu Options"/>
    <w:basedOn w:val="DefaultParagraphFont"/>
    <w:rsid w:val="00DC019F"/>
    <w:rPr>
      <w:rFonts w:ascii="Arial Narrow" w:hAnsi="Arial Narrow"/>
      <w:smallCaps/>
    </w:rPr>
  </w:style>
  <w:style w:type="character" w:customStyle="1" w:styleId="Buttons">
    <w:name w:val="Buttons"/>
    <w:basedOn w:val="DefaultParagraphFont"/>
    <w:rsid w:val="00DC019F"/>
    <w:rPr>
      <w:b/>
    </w:rPr>
  </w:style>
  <w:style w:type="character" w:customStyle="1" w:styleId="Underlined">
    <w:name w:val="Underlined"/>
    <w:basedOn w:val="DefaultParagraphFont"/>
    <w:rsid w:val="00DC019F"/>
    <w:rPr>
      <w:u w:val="single"/>
    </w:rPr>
  </w:style>
  <w:style w:type="paragraph" w:customStyle="1" w:styleId="TableBodyTextRight">
    <w:name w:val="Table Body Text Right"/>
    <w:basedOn w:val="TableBodyText"/>
    <w:rsid w:val="00DC019F"/>
    <w:pPr>
      <w:widowControl w:val="0"/>
      <w:autoSpaceDE w:val="0"/>
      <w:autoSpaceDN w:val="0"/>
      <w:adjustRightInd w:val="0"/>
      <w:jc w:val="right"/>
    </w:pPr>
    <w:rPr>
      <w:rFonts w:cs="Arial"/>
      <w:szCs w:val="18"/>
    </w:rPr>
  </w:style>
  <w:style w:type="paragraph" w:customStyle="1" w:styleId="CopyrightText">
    <w:name w:val="Copyright Text"/>
    <w:basedOn w:val="BodyText"/>
    <w:rsid w:val="00DC019F"/>
    <w:rPr>
      <w:sz w:val="18"/>
    </w:rPr>
  </w:style>
  <w:style w:type="paragraph" w:customStyle="1" w:styleId="BodySmallRight">
    <w:name w:val="Body Small Right"/>
    <w:basedOn w:val="BodyTextRight"/>
    <w:rsid w:val="00DC019F"/>
    <w:rPr>
      <w:sz w:val="18"/>
      <w:szCs w:val="18"/>
    </w:rPr>
  </w:style>
  <w:style w:type="paragraph" w:customStyle="1" w:styleId="MarginEdition">
    <w:name w:val="Margin Edition"/>
    <w:basedOn w:val="MarginNote"/>
    <w:rsid w:val="00DC019F"/>
    <w:pPr>
      <w:spacing w:before="0" w:after="0"/>
    </w:pPr>
    <w:rPr>
      <w:rFonts w:ascii="Times New Roman" w:hAnsi="Times New Roman"/>
      <w:color w:val="999999"/>
    </w:rPr>
  </w:style>
  <w:style w:type="paragraph" w:customStyle="1" w:styleId="Spacer">
    <w:name w:val="Spacer"/>
    <w:basedOn w:val="Normal"/>
    <w:rsid w:val="00DC019F"/>
    <w:rPr>
      <w:sz w:val="2"/>
      <w:szCs w:val="2"/>
    </w:rPr>
  </w:style>
  <w:style w:type="character" w:customStyle="1" w:styleId="Small">
    <w:name w:val="Small"/>
    <w:basedOn w:val="DefaultParagraphFont"/>
    <w:rsid w:val="00DC019F"/>
    <w:rPr>
      <w:sz w:val="16"/>
    </w:rPr>
  </w:style>
  <w:style w:type="paragraph" w:customStyle="1" w:styleId="WideTable">
    <w:name w:val="Wide Table"/>
    <w:basedOn w:val="Normal"/>
    <w:rsid w:val="00DC019F"/>
    <w:pPr>
      <w:ind w:left="-1418"/>
    </w:pPr>
    <w:rPr>
      <w:sz w:val="2"/>
      <w:szCs w:val="2"/>
    </w:rPr>
  </w:style>
  <w:style w:type="character" w:styleId="PageNumber">
    <w:name w:val="page number"/>
    <w:basedOn w:val="DefaultParagraphFont"/>
    <w:rsid w:val="00DC019F"/>
  </w:style>
  <w:style w:type="paragraph" w:styleId="Quote">
    <w:name w:val="Quote"/>
    <w:basedOn w:val="Heading1"/>
    <w:link w:val="QuoteChar"/>
    <w:qFormat/>
    <w:rsid w:val="00DC019F"/>
    <w:rPr>
      <w:b w:val="0"/>
      <w:sz w:val="72"/>
      <w:szCs w:val="72"/>
      <w:lang w:val="en-NZ"/>
    </w:rPr>
  </w:style>
  <w:style w:type="character" w:customStyle="1" w:styleId="QuoteChar">
    <w:name w:val="Quote Char"/>
    <w:basedOn w:val="DefaultParagraphFont"/>
    <w:link w:val="Quote"/>
    <w:rsid w:val="00DC0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19F"/>
    <w:pPr>
      <w:pageBreakBefore/>
    </w:pPr>
  </w:style>
  <w:style w:type="paragraph" w:customStyle="1" w:styleId="Border">
    <w:name w:val="Border"/>
    <w:basedOn w:val="Normal"/>
    <w:qFormat/>
    <w:rsid w:val="00DC0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19F"/>
    <w:rPr>
      <w:b/>
      <w:bCs/>
      <w:i/>
      <w:iCs/>
      <w:color w:val="auto"/>
    </w:rPr>
  </w:style>
  <w:style w:type="paragraph" w:styleId="IntenseQuote">
    <w:name w:val="Intense Quote"/>
    <w:basedOn w:val="Normal"/>
    <w:next w:val="Normal"/>
    <w:link w:val="IntenseQuoteChar"/>
    <w:uiPriority w:val="30"/>
    <w:qFormat/>
    <w:rsid w:val="00DC0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19F"/>
    <w:rPr>
      <w:smallCaps/>
      <w:color w:val="auto"/>
      <w:u w:val="single"/>
    </w:rPr>
  </w:style>
  <w:style w:type="character" w:styleId="IntenseReference">
    <w:name w:val="Intense Reference"/>
    <w:basedOn w:val="DefaultParagraphFont"/>
    <w:uiPriority w:val="32"/>
    <w:qFormat/>
    <w:rsid w:val="00DC019F"/>
    <w:rPr>
      <w:b/>
      <w:bCs/>
      <w:smallCaps/>
      <w:color w:val="auto"/>
      <w:spacing w:val="5"/>
      <w:u w:val="single"/>
    </w:rPr>
  </w:style>
  <w:style w:type="paragraph" w:customStyle="1" w:styleId="2ColumnHeading">
    <w:name w:val="2Column Heading"/>
    <w:basedOn w:val="BodyText"/>
    <w:qFormat/>
    <w:rsid w:val="00DC019F"/>
    <w:pPr>
      <w:spacing w:after="60"/>
      <w:ind w:left="-2268"/>
    </w:pPr>
    <w:rPr>
      <w:b/>
    </w:rPr>
  </w:style>
  <w:style w:type="paragraph" w:customStyle="1" w:styleId="Heading1TOC">
    <w:name w:val="Heading1 TOC"/>
    <w:basedOn w:val="Normal"/>
    <w:qFormat/>
    <w:rsid w:val="00DC019F"/>
    <w:pPr>
      <w:spacing w:before="240" w:after="120"/>
    </w:pPr>
    <w:rPr>
      <w:rFonts w:ascii="Times New Roman" w:hAnsi="Times New Roman"/>
      <w:b/>
      <w:sz w:val="32"/>
    </w:rPr>
  </w:style>
  <w:style w:type="paragraph" w:customStyle="1" w:styleId="Heading2TOC">
    <w:name w:val="Heading2 TOC"/>
    <w:basedOn w:val="Normal"/>
    <w:qFormat/>
    <w:rsid w:val="00DC019F"/>
    <w:pPr>
      <w:spacing w:before="240" w:after="60"/>
    </w:pPr>
    <w:rPr>
      <w:rFonts w:ascii="Times New Roman" w:hAnsi="Times New Roman"/>
      <w:b/>
      <w:sz w:val="28"/>
    </w:rPr>
  </w:style>
  <w:style w:type="character" w:customStyle="1" w:styleId="Underline">
    <w:name w:val="Underline"/>
    <w:basedOn w:val="DefaultParagraphFont"/>
    <w:qFormat/>
    <w:rsid w:val="00DC019F"/>
    <w:rPr>
      <w:u w:val="single"/>
    </w:rPr>
  </w:style>
  <w:style w:type="character" w:customStyle="1" w:styleId="BoldandItalics">
    <w:name w:val="Bold and Italics"/>
    <w:qFormat/>
    <w:rsid w:val="00DC019F"/>
    <w:rPr>
      <w:b/>
      <w:i/>
      <w:u w:val="none"/>
    </w:rPr>
  </w:style>
  <w:style w:type="paragraph" w:styleId="BalloonText">
    <w:name w:val="Balloon Text"/>
    <w:basedOn w:val="Normal"/>
    <w:link w:val="BalloonTextChar"/>
    <w:rsid w:val="00DC019F"/>
    <w:rPr>
      <w:rFonts w:ascii="Tahoma" w:hAnsi="Tahoma" w:cs="Tahoma"/>
      <w:sz w:val="16"/>
      <w:szCs w:val="16"/>
    </w:rPr>
  </w:style>
  <w:style w:type="character" w:customStyle="1" w:styleId="BalloonTextChar">
    <w:name w:val="Balloon Text Char"/>
    <w:basedOn w:val="DefaultParagraphFont"/>
    <w:link w:val="BalloonText"/>
    <w:rsid w:val="00DC0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19F"/>
    <w:rPr>
      <w:b/>
      <w:color w:val="660033"/>
      <w:spacing w:val="0"/>
    </w:rPr>
  </w:style>
  <w:style w:type="paragraph" w:customStyle="1" w:styleId="Nameditemlist">
    <w:name w:val="Named item list"/>
    <w:basedOn w:val="BodyText"/>
    <w:qFormat/>
    <w:rsid w:val="00DC01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6118</Characters>
  <Application>Microsoft Office Word</Application>
  <DocSecurity>0</DocSecurity>
  <Lines>282</Lines>
  <Paragraphs>167</Paragraphs>
  <ScaleCrop>false</ScaleCrop>
  <Company>Author-it Software Corporation Ltd.</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MSFID4011 Determine work health and safety (WHS) implications of interior effects</dc:title>
  <dc:subject>Approved</dc:subject>
  <dc:creator>Manufacturing Skills Australia</dc:creator>
  <cp:keywords>Release: 1</cp:keywords>
  <dc:description>Review Date: 12 April 2008</dc:description>
  <cp:lastModifiedBy>TPCMS</cp:lastModifiedBy>
  <cp:revision>3</cp:revision>
  <dcterms:created xsi:type="dcterms:W3CDTF">2016-12-09T03:42:00Z</dcterms:created>
  <dcterms:modified xsi:type="dcterms:W3CDTF">2016-12-09T03:42:00Z</dcterms:modified>
</cp:coreProperties>
</file>