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417D" w:rsidP="0076417D">
      <w:pPr>
        <w:pStyle w:val="Title"/>
      </w:pPr>
      <w:r>
        <w:fldChar w:fldCharType="begin"/>
      </w:r>
      <w:r>
        <w:instrText xml:space="preserve"> TITLE   \* MERGEFORMAT </w:instrText>
      </w:r>
      <w:r>
        <w:fldChar w:fldCharType="separate"/>
      </w:r>
      <w:r>
        <w:t>MSFID4007 Identify materials, construction techniques and methods used in building interiors</w:t>
      </w:r>
      <w:r>
        <w:fldChar w:fldCharType="end"/>
      </w:r>
    </w:p>
    <w:p w:rsidR="0076417D" w:rsidP="0076417D">
      <w:pPr>
        <w:pStyle w:val="Version"/>
        <w:sectPr w:rsidSect="006B76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76ED" w:rsidP="006B76ED">
      <w:pPr>
        <w:pStyle w:val="SuperHeading"/>
      </w:pPr>
      <w:r w:rsidRPr="006B76ED">
        <w:t>MSFID4007 Identify materials, construction techniques and methods used in building interiors</w:t>
      </w:r>
    </w:p>
    <w:p w:rsidR="00000000" w:rsidRPr="006B76ED" w:rsidP="006B76ED">
      <w:pPr>
        <w:pStyle w:val="Heading1"/>
      </w:pPr>
      <w:bookmarkStart w:id="1" w:name="O_627881"/>
      <w:bookmarkEnd w:id="1"/>
      <w:r w:rsidRPr="006B76ED">
        <w:t>Modification History</w:t>
      </w:r>
    </w:p>
    <w:p w:rsidR="00000000" w:rsidRPr="006B76ED" w:rsidP="0076417D">
      <w:pPr>
        <w:pStyle w:val="BodyText"/>
      </w:pPr>
      <w:r w:rsidRPr="006B76ED">
        <w:t>Release 1 - New unit of competency</w:t>
      </w:r>
    </w:p>
    <w:p w:rsidR="00000000" w:rsidRPr="006B76ED" w:rsidP="006B76ED">
      <w:pPr>
        <w:pStyle w:val="Heading1"/>
      </w:pPr>
      <w:bookmarkStart w:id="2" w:name="O_627889"/>
      <w:bookmarkEnd w:id="2"/>
      <w:r w:rsidRPr="006B76ED">
        <w:t>Application</w:t>
      </w:r>
    </w:p>
    <w:p w:rsidR="00000000" w:rsidRPr="006B76ED" w:rsidP="0076417D">
      <w:pPr>
        <w:pStyle w:val="BodyText"/>
      </w:pPr>
      <w:r w:rsidRPr="006B76ED">
        <w:t>This unit of competency covers researching and documenti</w:t>
      </w:r>
      <w:r w:rsidRPr="006B76ED">
        <w:t xml:space="preserve">ng the materials, construction techniques and methods associated with the construction of residential buildings for work in interior decoration and design businesses of all sizes. </w:t>
      </w:r>
    </w:p>
    <w:p w:rsidR="00000000" w:rsidRPr="006B76ED" w:rsidP="0076417D">
      <w:pPr>
        <w:pStyle w:val="BodyText"/>
      </w:pPr>
      <w:r w:rsidRPr="006B76ED">
        <w:t>Licensing, legislative or certification requirements may apply to this uni</w:t>
      </w:r>
      <w:r w:rsidRPr="006B76ED">
        <w:t>t and relevant state/territory and local government agencies should be consulted to determine any necessary certification or licensing for undertaking interior decoration and design work. Access to construction sites requires certification of general induc</w:t>
      </w:r>
      <w:r w:rsidRPr="006B76ED">
        <w:t xml:space="preserve">tion training specified by the </w:t>
      </w:r>
      <w:r w:rsidRPr="006B76ED">
        <w:rPr>
          <w:rStyle w:val="Emphasis"/>
        </w:rPr>
        <w:t xml:space="preserve">National Code of Practice for Induction for Construction Work </w:t>
      </w:r>
      <w:r w:rsidRPr="006B76ED">
        <w:t>(ASCC 2007).</w:t>
      </w:r>
    </w:p>
    <w:p w:rsidR="00000000" w:rsidRPr="006B76ED" w:rsidP="006B76ED">
      <w:pPr>
        <w:pStyle w:val="Heading1"/>
      </w:pPr>
      <w:bookmarkStart w:id="3" w:name="O_627888"/>
      <w:bookmarkEnd w:id="3"/>
      <w:r w:rsidRPr="006B76ED">
        <w:t>Pre-requisite Unit</w:t>
      </w:r>
    </w:p>
    <w:p w:rsidR="00000000" w:rsidRPr="006B76ED" w:rsidP="006B76ED">
      <w:pPr>
        <w:pStyle w:val="Heading1"/>
      </w:pPr>
      <w:bookmarkStart w:id="4" w:name="O_627887"/>
      <w:bookmarkEnd w:id="4"/>
      <w:r w:rsidRPr="006B76ED">
        <w:t>Competency Field</w:t>
      </w:r>
    </w:p>
    <w:p w:rsidR="00000000" w:rsidRPr="006B76ED" w:rsidP="006B76ED">
      <w:pPr>
        <w:pStyle w:val="Heading1"/>
      </w:pPr>
      <w:bookmarkStart w:id="5" w:name="O_627886"/>
      <w:bookmarkEnd w:id="5"/>
      <w:r w:rsidRPr="006B76ED">
        <w:t>Unit Sector</w:t>
      </w:r>
    </w:p>
    <w:p w:rsidR="00000000" w:rsidRPr="006B76ED" w:rsidP="0076417D">
      <w:pPr>
        <w:pStyle w:val="BodyText"/>
      </w:pPr>
      <w:r w:rsidRPr="006B76ED">
        <w:t>Interior Decoration and Design</w:t>
      </w:r>
    </w:p>
    <w:p w:rsidR="00000000" w:rsidRPr="006B76ED" w:rsidP="006B76ED">
      <w:pPr>
        <w:pStyle w:val="Heading1"/>
      </w:pPr>
      <w:bookmarkStart w:id="6" w:name="O_627885"/>
      <w:bookmarkEnd w:id="6"/>
      <w:r w:rsidRPr="006B76ED">
        <w:t>Eleme</w:t>
      </w:r>
      <w:r w:rsidRPr="006B76ED">
        <w:t>nts and Performance Criteria</w:t>
      </w:r>
    </w:p>
    <w:tbl>
      <w:tblPr>
        <w:tblW w:w="9286" w:type="dxa"/>
        <w:tblLayout w:type="fixed"/>
        <w:tblCellMar>
          <w:left w:w="62" w:type="dxa"/>
          <w:right w:w="62" w:type="dxa"/>
        </w:tblCellMar>
        <w:tblLook w:val="0000"/>
      </w:tblPr>
      <w:tblGrid>
        <w:gridCol w:w="540"/>
        <w:gridCol w:w="2219"/>
        <w:gridCol w:w="751"/>
        <w:gridCol w:w="5776"/>
      </w:tblGrid>
      <w:tr w:rsidTr="006B76ED">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6B76ED">
            <w:pPr>
              <w:pStyle w:val="BodyText"/>
              <w:rPr>
                <w:lang w:val="en-NZ"/>
              </w:rPr>
            </w:pPr>
            <w:r w:rsidRPr="006B76ED">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6B76ED">
            <w:pPr>
              <w:pStyle w:val="BodyText"/>
              <w:rPr>
                <w:lang w:val="en-NZ"/>
              </w:rPr>
            </w:pPr>
            <w:r w:rsidRPr="006B76ED">
              <w:t>Performance criteria describe the performance needed to demonstrate achievement of the element.</w:t>
            </w:r>
          </w:p>
        </w:tc>
      </w:tr>
      <w:tr w:rsidTr="006B76E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6B76ED">
            <w:pPr>
              <w:pStyle w:val="BodyText"/>
              <w:rPr>
                <w:lang w:val="en-NZ"/>
              </w:rPr>
            </w:pPr>
            <w:r w:rsidRPr="006B76ED">
              <w:t>1</w:t>
            </w:r>
          </w:p>
        </w:tc>
        <w:tc>
          <w:tcPr>
            <w:tcW w:w="2219" w:type="dxa"/>
            <w:vMerge w:val="restart"/>
            <w:tcBorders>
              <w:top w:val="nil"/>
              <w:left w:val="nil"/>
              <w:bottom w:val="nil"/>
              <w:right w:val="nil"/>
            </w:tcBorders>
            <w:tcMar>
              <w:top w:w="0" w:type="dxa"/>
              <w:left w:w="62" w:type="dxa"/>
              <w:bottom w:w="0" w:type="dxa"/>
              <w:right w:w="62" w:type="dxa"/>
            </w:tcMar>
          </w:tcPr>
          <w:p w:rsidR="00000000" w:rsidP="006B76ED">
            <w:pPr>
              <w:pStyle w:val="BodyText"/>
              <w:rPr>
                <w:lang w:val="en-NZ"/>
              </w:rPr>
            </w:pPr>
            <w:r w:rsidRPr="006B76ED">
              <w:t>Establish structural components and materials used in residential buildings</w:t>
            </w:r>
          </w:p>
        </w:tc>
        <w:tc>
          <w:tcPr>
            <w:tcW w:w="751" w:type="dxa"/>
            <w:tcBorders>
              <w:top w:val="nil"/>
              <w:left w:val="nil"/>
              <w:bottom w:val="nil"/>
              <w:right w:val="nil"/>
            </w:tcBorders>
            <w:tcMar>
              <w:top w:w="0" w:type="dxa"/>
              <w:left w:w="62" w:type="dxa"/>
              <w:bottom w:w="0" w:type="dxa"/>
              <w:right w:w="62" w:type="dxa"/>
            </w:tcMar>
          </w:tcPr>
          <w:p w:rsidR="00000000" w:rsidP="006B76ED">
            <w:pPr>
              <w:pStyle w:val="BodyText"/>
              <w:rPr>
                <w:lang w:val="en-NZ"/>
              </w:rPr>
            </w:pPr>
            <w:r w:rsidRPr="006B76ED">
              <w:t>1.1</w:t>
            </w:r>
          </w:p>
        </w:tc>
        <w:tc>
          <w:tcPr>
            <w:tcW w:w="5776" w:type="dxa"/>
            <w:tcBorders>
              <w:top w:val="nil"/>
              <w:left w:val="nil"/>
              <w:bottom w:val="nil"/>
              <w:right w:val="nil"/>
            </w:tcBorders>
            <w:tcMar>
              <w:top w:w="0" w:type="dxa"/>
              <w:left w:w="62" w:type="dxa"/>
              <w:bottom w:w="0" w:type="dxa"/>
              <w:right w:w="62" w:type="dxa"/>
            </w:tcMar>
          </w:tcPr>
          <w:p w:rsidR="00000000" w:rsidP="006B76ED">
            <w:pPr>
              <w:pStyle w:val="BodyText"/>
              <w:rPr>
                <w:lang w:val="en-NZ"/>
              </w:rPr>
            </w:pPr>
            <w:r w:rsidRPr="006B76ED">
              <w:t>Residential building process is delineated into separate construction stages and expressed chronologically</w:t>
            </w:r>
          </w:p>
        </w:tc>
      </w:tr>
      <w:tr w:rsidTr="006B76E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B76ED">
            <w:pPr>
              <w:pStyle w:val="BodyText"/>
              <w:rPr>
                <w:lang w:val="en-NZ"/>
              </w:rPr>
            </w:pPr>
            <w:r w:rsidRPr="006B76ED">
              <w:t>1.2</w:t>
            </w:r>
          </w:p>
        </w:tc>
        <w:tc>
          <w:tcPr>
            <w:tcW w:w="5776" w:type="dxa"/>
            <w:tcBorders>
              <w:top w:val="nil"/>
              <w:left w:val="nil"/>
              <w:bottom w:val="nil"/>
              <w:right w:val="nil"/>
            </w:tcBorders>
            <w:tcMar>
              <w:top w:w="0" w:type="dxa"/>
              <w:left w:w="62" w:type="dxa"/>
              <w:bottom w:w="0" w:type="dxa"/>
              <w:right w:w="62" w:type="dxa"/>
            </w:tcMar>
          </w:tcPr>
          <w:p w:rsidR="00000000" w:rsidP="006B76ED">
            <w:pPr>
              <w:pStyle w:val="BodyText"/>
              <w:rPr>
                <w:lang w:val="en-NZ"/>
              </w:rPr>
            </w:pPr>
            <w:r w:rsidRPr="006B76ED">
              <w:t>Trades, construction techniques and materials associated with each stage are summarised</w:t>
            </w:r>
          </w:p>
        </w:tc>
      </w:tr>
      <w:tr w:rsidTr="006B76E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B76ED">
            <w:pPr>
              <w:pStyle w:val="BodyText"/>
              <w:rPr>
                <w:lang w:val="en-NZ"/>
              </w:rPr>
            </w:pPr>
            <w:r w:rsidRPr="006B76ED">
              <w:t>1.3</w:t>
            </w:r>
          </w:p>
        </w:tc>
        <w:tc>
          <w:tcPr>
            <w:tcW w:w="5776" w:type="dxa"/>
            <w:tcBorders>
              <w:top w:val="nil"/>
              <w:left w:val="nil"/>
              <w:bottom w:val="nil"/>
              <w:right w:val="nil"/>
            </w:tcBorders>
            <w:tcMar>
              <w:top w:w="0" w:type="dxa"/>
              <w:left w:w="62" w:type="dxa"/>
              <w:bottom w:w="0" w:type="dxa"/>
              <w:right w:w="62" w:type="dxa"/>
            </w:tcMar>
          </w:tcPr>
          <w:p w:rsidR="00000000" w:rsidP="006B76ED">
            <w:pPr>
              <w:pStyle w:val="BodyText"/>
              <w:rPr>
                <w:lang w:val="en-NZ"/>
              </w:rPr>
            </w:pPr>
            <w:r w:rsidRPr="006B76ED">
              <w:t>Individual component members are identified and sorted into structural or non-structural categories</w:t>
            </w:r>
          </w:p>
        </w:tc>
      </w:tr>
      <w:tr w:rsidTr="006B76E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B76ED">
            <w:pPr>
              <w:pStyle w:val="BodyText"/>
              <w:rPr>
                <w:lang w:val="en-NZ"/>
              </w:rPr>
            </w:pPr>
            <w:r w:rsidRPr="006B76ED">
              <w:t>1.4</w:t>
            </w:r>
          </w:p>
        </w:tc>
        <w:tc>
          <w:tcPr>
            <w:tcW w:w="5776" w:type="dxa"/>
            <w:tcBorders>
              <w:top w:val="nil"/>
              <w:left w:val="nil"/>
              <w:bottom w:val="nil"/>
              <w:right w:val="nil"/>
            </w:tcBorders>
            <w:tcMar>
              <w:top w:w="0" w:type="dxa"/>
              <w:left w:w="62" w:type="dxa"/>
              <w:bottom w:w="0" w:type="dxa"/>
              <w:right w:w="62" w:type="dxa"/>
            </w:tcMar>
          </w:tcPr>
          <w:p w:rsidR="00000000" w:rsidP="006B76ED">
            <w:pPr>
              <w:pStyle w:val="BodyText"/>
              <w:rPr>
                <w:lang w:val="en-NZ"/>
              </w:rPr>
            </w:pPr>
            <w:r w:rsidRPr="006B76ED">
              <w:t>Demolition methods for the removal of existing work can be identified</w:t>
            </w:r>
          </w:p>
        </w:tc>
      </w:tr>
      <w:tr w:rsidTr="006B76E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6B76ED">
            <w:pPr>
              <w:pStyle w:val="BodyText"/>
              <w:rPr>
                <w:lang w:val="en-NZ"/>
              </w:rPr>
            </w:pPr>
            <w:r w:rsidRPr="006B76ED">
              <w:t>2</w:t>
            </w:r>
          </w:p>
        </w:tc>
        <w:tc>
          <w:tcPr>
            <w:tcW w:w="2219" w:type="dxa"/>
            <w:tcBorders>
              <w:top w:val="nil"/>
              <w:left w:val="nil"/>
              <w:bottom w:val="nil"/>
              <w:right w:val="nil"/>
            </w:tcBorders>
            <w:tcMar>
              <w:top w:w="0" w:type="dxa"/>
              <w:left w:w="62" w:type="dxa"/>
              <w:bottom w:w="0" w:type="dxa"/>
              <w:right w:w="62" w:type="dxa"/>
            </w:tcMar>
          </w:tcPr>
          <w:p w:rsidR="00000000" w:rsidP="006B76ED">
            <w:pPr>
              <w:pStyle w:val="BodyText"/>
              <w:rPr>
                <w:lang w:val="en-NZ"/>
              </w:rPr>
            </w:pPr>
            <w:r w:rsidRPr="006B76ED">
              <w:t>Interpret plans and specifications</w:t>
            </w:r>
          </w:p>
        </w:tc>
        <w:tc>
          <w:tcPr>
            <w:tcW w:w="751" w:type="dxa"/>
            <w:tcBorders>
              <w:top w:val="nil"/>
              <w:left w:val="nil"/>
              <w:bottom w:val="nil"/>
              <w:right w:val="nil"/>
            </w:tcBorders>
            <w:tcMar>
              <w:top w:w="0" w:type="dxa"/>
              <w:left w:w="62" w:type="dxa"/>
              <w:bottom w:w="0" w:type="dxa"/>
              <w:right w:w="62" w:type="dxa"/>
            </w:tcMar>
          </w:tcPr>
          <w:p w:rsidR="00000000" w:rsidP="006B76ED">
            <w:pPr>
              <w:pStyle w:val="BodyText"/>
              <w:rPr>
                <w:lang w:val="en-NZ"/>
              </w:rPr>
            </w:pPr>
            <w:r w:rsidRPr="006B76ED">
              <w:t>2.1</w:t>
            </w:r>
          </w:p>
        </w:tc>
        <w:tc>
          <w:tcPr>
            <w:tcW w:w="5776" w:type="dxa"/>
            <w:tcBorders>
              <w:top w:val="nil"/>
              <w:left w:val="nil"/>
              <w:bottom w:val="nil"/>
              <w:right w:val="nil"/>
            </w:tcBorders>
            <w:tcMar>
              <w:top w:w="0" w:type="dxa"/>
              <w:left w:w="62" w:type="dxa"/>
              <w:bottom w:w="0" w:type="dxa"/>
              <w:right w:w="62" w:type="dxa"/>
            </w:tcMar>
          </w:tcPr>
          <w:p w:rsidR="00000000" w:rsidP="006B76ED">
            <w:pPr>
              <w:pStyle w:val="BodyText"/>
              <w:rPr>
                <w:lang w:val="en-NZ"/>
              </w:rPr>
            </w:pPr>
            <w:r w:rsidRPr="006B76ED">
              <w:t xml:space="preserve">Specific components and materials on </w:t>
            </w:r>
            <w:r w:rsidRPr="006B76ED">
              <w:t>given building plans are located</w:t>
            </w:r>
          </w:p>
        </w:tc>
      </w:tr>
      <w:tr w:rsidTr="006B76E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B76ED">
            <w:pPr>
              <w:pStyle w:val="BodyText"/>
              <w:rPr>
                <w:lang w:val="en-NZ"/>
              </w:rPr>
            </w:pPr>
            <w:r w:rsidRPr="006B76ED">
              <w:t>2.2</w:t>
            </w:r>
          </w:p>
        </w:tc>
        <w:tc>
          <w:tcPr>
            <w:tcW w:w="5776" w:type="dxa"/>
            <w:tcBorders>
              <w:top w:val="nil"/>
              <w:left w:val="nil"/>
              <w:bottom w:val="nil"/>
              <w:right w:val="nil"/>
            </w:tcBorders>
            <w:tcMar>
              <w:top w:w="0" w:type="dxa"/>
              <w:left w:w="62" w:type="dxa"/>
              <w:bottom w:w="0" w:type="dxa"/>
              <w:right w:w="62" w:type="dxa"/>
            </w:tcMar>
          </w:tcPr>
          <w:p w:rsidR="00000000" w:rsidP="006B76ED">
            <w:pPr>
              <w:pStyle w:val="BodyText"/>
              <w:rPr>
                <w:lang w:val="en-NZ"/>
              </w:rPr>
            </w:pPr>
            <w:r w:rsidRPr="006B76ED">
              <w:t>Construction methods are explained from a given plan</w:t>
            </w:r>
          </w:p>
        </w:tc>
      </w:tr>
      <w:tr w:rsidTr="006B76E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B76ED">
            <w:pPr>
              <w:pStyle w:val="BodyText"/>
              <w:rPr>
                <w:lang w:val="en-NZ"/>
              </w:rPr>
            </w:pPr>
            <w:r w:rsidRPr="006B76ED">
              <w:t>2.3</w:t>
            </w:r>
          </w:p>
        </w:tc>
        <w:tc>
          <w:tcPr>
            <w:tcW w:w="5776" w:type="dxa"/>
            <w:tcBorders>
              <w:top w:val="nil"/>
              <w:left w:val="nil"/>
              <w:bottom w:val="nil"/>
              <w:right w:val="nil"/>
            </w:tcBorders>
            <w:tcMar>
              <w:top w:w="0" w:type="dxa"/>
              <w:left w:w="62" w:type="dxa"/>
              <w:bottom w:w="0" w:type="dxa"/>
              <w:right w:w="62" w:type="dxa"/>
            </w:tcMar>
          </w:tcPr>
          <w:p w:rsidR="00000000" w:rsidP="006B76ED">
            <w:pPr>
              <w:pStyle w:val="BodyText"/>
              <w:rPr>
                <w:lang w:val="en-NZ"/>
              </w:rPr>
            </w:pPr>
            <w:r w:rsidRPr="006B76ED">
              <w:t>Specific component details in a given building specification are located and identified</w:t>
            </w:r>
          </w:p>
        </w:tc>
      </w:tr>
      <w:tr w:rsidTr="006B76E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B76ED">
            <w:pPr>
              <w:pStyle w:val="BodyText"/>
              <w:rPr>
                <w:lang w:val="en-NZ"/>
              </w:rPr>
            </w:pPr>
            <w:r w:rsidRPr="006B76ED">
              <w:t>2.4</w:t>
            </w:r>
          </w:p>
        </w:tc>
        <w:tc>
          <w:tcPr>
            <w:tcW w:w="5776" w:type="dxa"/>
            <w:tcBorders>
              <w:top w:val="nil"/>
              <w:left w:val="nil"/>
              <w:bottom w:val="nil"/>
              <w:right w:val="nil"/>
            </w:tcBorders>
            <w:tcMar>
              <w:top w:w="0" w:type="dxa"/>
              <w:left w:w="62" w:type="dxa"/>
              <w:bottom w:w="0" w:type="dxa"/>
              <w:right w:w="62" w:type="dxa"/>
            </w:tcMar>
          </w:tcPr>
          <w:p w:rsidR="00000000" w:rsidP="006B76ED">
            <w:pPr>
              <w:pStyle w:val="BodyText"/>
              <w:rPr>
                <w:lang w:val="en-NZ"/>
              </w:rPr>
            </w:pPr>
            <w:r w:rsidRPr="006B76ED">
              <w:t>Bill of quantities and other relevant specification documents are interpreted</w:t>
            </w:r>
          </w:p>
        </w:tc>
      </w:tr>
      <w:tr w:rsidTr="006B76E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B76ED">
            <w:pPr>
              <w:pStyle w:val="BodyText"/>
              <w:rPr>
                <w:lang w:val="en-NZ"/>
              </w:rPr>
            </w:pPr>
            <w:r w:rsidRPr="006B76ED">
              <w:t>2.5</w:t>
            </w:r>
          </w:p>
        </w:tc>
        <w:tc>
          <w:tcPr>
            <w:tcW w:w="5776" w:type="dxa"/>
            <w:tcBorders>
              <w:top w:val="nil"/>
              <w:left w:val="nil"/>
              <w:bottom w:val="nil"/>
              <w:right w:val="nil"/>
            </w:tcBorders>
            <w:tcMar>
              <w:top w:w="0" w:type="dxa"/>
              <w:left w:w="62" w:type="dxa"/>
              <w:bottom w:w="0" w:type="dxa"/>
              <w:right w:w="62" w:type="dxa"/>
            </w:tcMar>
          </w:tcPr>
          <w:p w:rsidR="00000000" w:rsidP="006B76ED">
            <w:pPr>
              <w:pStyle w:val="BodyText"/>
              <w:rPr>
                <w:lang w:val="en-NZ"/>
              </w:rPr>
            </w:pPr>
            <w:r w:rsidRPr="006B76ED">
              <w:t>Prime cost items are located and extracted from a given set of documents</w:t>
            </w:r>
          </w:p>
        </w:tc>
      </w:tr>
      <w:tr w:rsidTr="006B76E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6B76ED">
            <w:pPr>
              <w:pStyle w:val="BodyText"/>
              <w:rPr>
                <w:lang w:val="en-NZ"/>
              </w:rPr>
            </w:pPr>
            <w:r w:rsidRPr="006B76ED">
              <w:t>3</w:t>
            </w:r>
          </w:p>
        </w:tc>
        <w:tc>
          <w:tcPr>
            <w:tcW w:w="2219" w:type="dxa"/>
            <w:vMerge w:val="restart"/>
            <w:tcBorders>
              <w:top w:val="nil"/>
              <w:left w:val="nil"/>
              <w:bottom w:val="nil"/>
              <w:right w:val="nil"/>
            </w:tcBorders>
            <w:tcMar>
              <w:top w:w="0" w:type="dxa"/>
              <w:left w:w="62" w:type="dxa"/>
              <w:bottom w:w="0" w:type="dxa"/>
              <w:right w:w="62" w:type="dxa"/>
            </w:tcMar>
          </w:tcPr>
          <w:p w:rsidR="00000000" w:rsidP="006B76ED">
            <w:pPr>
              <w:pStyle w:val="BodyText"/>
              <w:rPr>
                <w:lang w:val="en-NZ"/>
              </w:rPr>
            </w:pPr>
            <w:r w:rsidRPr="006B76ED">
              <w:t>Specify the materials and methods involved in the refurbishment of wet areas</w:t>
            </w:r>
          </w:p>
        </w:tc>
        <w:tc>
          <w:tcPr>
            <w:tcW w:w="751" w:type="dxa"/>
            <w:tcBorders>
              <w:top w:val="nil"/>
              <w:left w:val="nil"/>
              <w:bottom w:val="nil"/>
              <w:right w:val="nil"/>
            </w:tcBorders>
            <w:tcMar>
              <w:top w:w="0" w:type="dxa"/>
              <w:left w:w="62" w:type="dxa"/>
              <w:bottom w:w="0" w:type="dxa"/>
              <w:right w:w="62" w:type="dxa"/>
            </w:tcMar>
          </w:tcPr>
          <w:p w:rsidR="00000000" w:rsidP="006B76ED">
            <w:pPr>
              <w:pStyle w:val="BodyText"/>
              <w:rPr>
                <w:lang w:val="en-NZ"/>
              </w:rPr>
            </w:pPr>
            <w:r w:rsidRPr="006B76ED">
              <w:t>3.1</w:t>
            </w:r>
          </w:p>
        </w:tc>
        <w:tc>
          <w:tcPr>
            <w:tcW w:w="5776" w:type="dxa"/>
            <w:tcBorders>
              <w:top w:val="nil"/>
              <w:left w:val="nil"/>
              <w:bottom w:val="nil"/>
              <w:right w:val="nil"/>
            </w:tcBorders>
            <w:tcMar>
              <w:top w:w="0" w:type="dxa"/>
              <w:left w:w="62" w:type="dxa"/>
              <w:bottom w:w="0" w:type="dxa"/>
              <w:right w:w="62" w:type="dxa"/>
            </w:tcMar>
          </w:tcPr>
          <w:p w:rsidR="00000000" w:rsidP="006B76ED">
            <w:pPr>
              <w:pStyle w:val="BodyText"/>
              <w:rPr>
                <w:lang w:val="en-NZ"/>
              </w:rPr>
            </w:pPr>
            <w:r w:rsidRPr="006B76ED">
              <w:t>Properties of materials used in wet area construction are evaluated</w:t>
            </w:r>
          </w:p>
        </w:tc>
      </w:tr>
      <w:tr w:rsidTr="006B76E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B76ED">
            <w:pPr>
              <w:pStyle w:val="BodyText"/>
              <w:rPr>
                <w:lang w:val="en-NZ"/>
              </w:rPr>
            </w:pPr>
            <w:r w:rsidRPr="006B76ED">
              <w:t>3.2</w:t>
            </w:r>
          </w:p>
        </w:tc>
        <w:tc>
          <w:tcPr>
            <w:tcW w:w="5776" w:type="dxa"/>
            <w:tcBorders>
              <w:top w:val="nil"/>
              <w:left w:val="nil"/>
              <w:bottom w:val="nil"/>
              <w:right w:val="nil"/>
            </w:tcBorders>
            <w:tcMar>
              <w:top w:w="0" w:type="dxa"/>
              <w:left w:w="62" w:type="dxa"/>
              <w:bottom w:w="0" w:type="dxa"/>
              <w:right w:w="62" w:type="dxa"/>
            </w:tcMar>
          </w:tcPr>
          <w:p w:rsidR="00000000" w:rsidP="006B76ED">
            <w:pPr>
              <w:pStyle w:val="BodyText"/>
              <w:rPr>
                <w:lang w:val="en-NZ"/>
              </w:rPr>
            </w:pPr>
            <w:r w:rsidRPr="006B76ED">
              <w:t>Installations of wet area cabinetry are specified</w:t>
            </w:r>
          </w:p>
        </w:tc>
      </w:tr>
      <w:tr w:rsidTr="006B76E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6B76ED">
            <w:pPr>
              <w:pStyle w:val="BodyText"/>
              <w:rPr>
                <w:lang w:val="en-NZ"/>
              </w:rPr>
            </w:pPr>
            <w:r w:rsidRPr="006B76ED">
              <w:t>4</w:t>
            </w:r>
          </w:p>
        </w:tc>
        <w:tc>
          <w:tcPr>
            <w:tcW w:w="2219" w:type="dxa"/>
            <w:tcBorders>
              <w:top w:val="nil"/>
              <w:left w:val="nil"/>
              <w:bottom w:val="nil"/>
              <w:right w:val="nil"/>
            </w:tcBorders>
            <w:tcMar>
              <w:top w:w="0" w:type="dxa"/>
              <w:left w:w="62" w:type="dxa"/>
              <w:bottom w:w="0" w:type="dxa"/>
              <w:right w:w="62" w:type="dxa"/>
            </w:tcMar>
          </w:tcPr>
          <w:p w:rsidR="00000000" w:rsidP="006B76ED">
            <w:pPr>
              <w:pStyle w:val="BodyText"/>
              <w:rPr>
                <w:lang w:val="en-NZ"/>
              </w:rPr>
            </w:pPr>
            <w:r w:rsidRPr="006B76ED">
              <w:t>Develop and maintain relevant and current reference material</w:t>
            </w:r>
          </w:p>
        </w:tc>
        <w:tc>
          <w:tcPr>
            <w:tcW w:w="751" w:type="dxa"/>
            <w:tcBorders>
              <w:top w:val="nil"/>
              <w:left w:val="nil"/>
              <w:bottom w:val="nil"/>
              <w:right w:val="nil"/>
            </w:tcBorders>
            <w:tcMar>
              <w:top w:w="0" w:type="dxa"/>
              <w:left w:w="62" w:type="dxa"/>
              <w:bottom w:w="0" w:type="dxa"/>
              <w:right w:w="62" w:type="dxa"/>
            </w:tcMar>
          </w:tcPr>
          <w:p w:rsidR="00000000" w:rsidP="006B76ED">
            <w:pPr>
              <w:pStyle w:val="BodyText"/>
              <w:rPr>
                <w:lang w:val="en-NZ"/>
              </w:rPr>
            </w:pPr>
            <w:r w:rsidRPr="006B76ED">
              <w:t>4.1</w:t>
            </w:r>
          </w:p>
        </w:tc>
        <w:tc>
          <w:tcPr>
            <w:tcW w:w="5776" w:type="dxa"/>
            <w:tcBorders>
              <w:top w:val="nil"/>
              <w:left w:val="nil"/>
              <w:bottom w:val="nil"/>
              <w:right w:val="nil"/>
            </w:tcBorders>
            <w:tcMar>
              <w:top w:w="0" w:type="dxa"/>
              <w:left w:w="62" w:type="dxa"/>
              <w:bottom w:w="0" w:type="dxa"/>
              <w:right w:w="62" w:type="dxa"/>
            </w:tcMar>
          </w:tcPr>
          <w:p w:rsidR="00000000" w:rsidP="006B76ED">
            <w:pPr>
              <w:pStyle w:val="BodyText"/>
              <w:rPr>
                <w:lang w:val="en-NZ"/>
              </w:rPr>
            </w:pPr>
            <w:r w:rsidRPr="006B76ED">
              <w:t>Relevant Building Services Authority building licensing require</w:t>
            </w:r>
            <w:r w:rsidRPr="006B76ED">
              <w:t>ments applicable to interior decoration projects are complied with</w:t>
            </w:r>
          </w:p>
        </w:tc>
      </w:tr>
      <w:tr w:rsidTr="006B76E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B76ED">
            <w:pPr>
              <w:pStyle w:val="BodyText"/>
              <w:rPr>
                <w:lang w:val="en-NZ"/>
              </w:rPr>
            </w:pPr>
            <w:r w:rsidRPr="006B76ED">
              <w:t>4.2</w:t>
            </w:r>
          </w:p>
        </w:tc>
        <w:tc>
          <w:tcPr>
            <w:tcW w:w="5776" w:type="dxa"/>
            <w:tcBorders>
              <w:top w:val="nil"/>
              <w:left w:val="nil"/>
              <w:bottom w:val="nil"/>
              <w:right w:val="nil"/>
            </w:tcBorders>
            <w:tcMar>
              <w:top w:w="0" w:type="dxa"/>
              <w:left w:w="62" w:type="dxa"/>
              <w:bottom w:w="0" w:type="dxa"/>
              <w:right w:w="62" w:type="dxa"/>
            </w:tcMar>
          </w:tcPr>
          <w:p w:rsidR="00000000" w:rsidP="006B76ED">
            <w:pPr>
              <w:pStyle w:val="BodyText"/>
              <w:rPr>
                <w:lang w:val="en-NZ"/>
              </w:rPr>
            </w:pPr>
            <w:r w:rsidRPr="006B76ED">
              <w:t>Evidence of contact with industry suppliers to obtain information relevant to building components and equipment used in residential interiors is presented</w:t>
            </w:r>
          </w:p>
        </w:tc>
      </w:tr>
      <w:tr w:rsidTr="006B76E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B76ED">
            <w:pPr>
              <w:pStyle w:val="BodyText"/>
              <w:rPr>
                <w:lang w:val="en-NZ"/>
              </w:rPr>
            </w:pPr>
            <w:r w:rsidRPr="006B76ED">
              <w:t>4.3</w:t>
            </w:r>
          </w:p>
        </w:tc>
        <w:tc>
          <w:tcPr>
            <w:tcW w:w="5776" w:type="dxa"/>
            <w:tcBorders>
              <w:top w:val="nil"/>
              <w:left w:val="nil"/>
              <w:bottom w:val="nil"/>
              <w:right w:val="nil"/>
            </w:tcBorders>
            <w:tcMar>
              <w:top w:w="0" w:type="dxa"/>
              <w:left w:w="62" w:type="dxa"/>
              <w:bottom w:w="0" w:type="dxa"/>
              <w:right w:w="62" w:type="dxa"/>
            </w:tcMar>
          </w:tcPr>
          <w:p w:rsidR="00000000" w:rsidP="006B76ED">
            <w:pPr>
              <w:pStyle w:val="BodyText"/>
              <w:rPr>
                <w:lang w:val="en-NZ"/>
              </w:rPr>
            </w:pPr>
            <w:r w:rsidRPr="006B76ED">
              <w:t>An index to the portfolio to reflect industry topics and to allow easy access to the information is provided</w:t>
            </w:r>
          </w:p>
        </w:tc>
      </w:tr>
      <w:tr w:rsidTr="006B76E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B76ED">
            <w:pPr>
              <w:pStyle w:val="BodyText"/>
              <w:rPr>
                <w:lang w:val="en-NZ"/>
              </w:rPr>
            </w:pPr>
            <w:r w:rsidRPr="006B76ED">
              <w:t>4.4</w:t>
            </w:r>
          </w:p>
        </w:tc>
        <w:tc>
          <w:tcPr>
            <w:tcW w:w="5776" w:type="dxa"/>
            <w:tcBorders>
              <w:top w:val="nil"/>
              <w:left w:val="nil"/>
              <w:bottom w:val="nil"/>
              <w:right w:val="nil"/>
            </w:tcBorders>
            <w:tcMar>
              <w:top w:w="0" w:type="dxa"/>
              <w:left w:w="62" w:type="dxa"/>
              <w:bottom w:w="0" w:type="dxa"/>
              <w:right w:w="62" w:type="dxa"/>
            </w:tcMar>
          </w:tcPr>
          <w:p w:rsidR="00000000" w:rsidP="006B76ED">
            <w:pPr>
              <w:pStyle w:val="BodyText"/>
              <w:rPr>
                <w:lang w:val="en-NZ"/>
              </w:rPr>
            </w:pPr>
            <w:r w:rsidRPr="006B76ED">
              <w:t>Future additions of reference material are allowed for and details of the information, such as date, source, author and reference to any rel</w:t>
            </w:r>
            <w:r w:rsidRPr="006B76ED">
              <w:t>ated information, are included</w:t>
            </w:r>
          </w:p>
        </w:tc>
      </w:tr>
      <w:tr w:rsidTr="006B76E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B76ED">
            <w:pPr>
              <w:pStyle w:val="BodyText"/>
              <w:rPr>
                <w:lang w:val="en-NZ"/>
              </w:rPr>
            </w:pPr>
            <w:r w:rsidRPr="006B76ED">
              <w:t>4.5</w:t>
            </w:r>
          </w:p>
        </w:tc>
        <w:tc>
          <w:tcPr>
            <w:tcW w:w="5776" w:type="dxa"/>
            <w:tcBorders>
              <w:top w:val="nil"/>
              <w:left w:val="nil"/>
              <w:bottom w:val="nil"/>
              <w:right w:val="nil"/>
            </w:tcBorders>
            <w:tcMar>
              <w:top w:w="0" w:type="dxa"/>
              <w:left w:w="62" w:type="dxa"/>
              <w:bottom w:w="0" w:type="dxa"/>
              <w:right w:w="62" w:type="dxa"/>
            </w:tcMar>
          </w:tcPr>
          <w:p w:rsidR="00000000" w:rsidRPr="006B76ED" w:rsidP="006B76ED">
            <w:pPr>
              <w:pStyle w:val="BodyText"/>
            </w:pPr>
            <w:r w:rsidRPr="006B76ED">
              <w:t>A strategy to ensure that the portfolio remains current and accurate is prepared</w:t>
            </w:r>
          </w:p>
        </w:tc>
      </w:tr>
    </w:tbl>
    <w:p w:rsidR="00000000" w:rsidRPr="006B76ED" w:rsidP="006B76ED">
      <w:pPr>
        <w:pStyle w:val="BodyText"/>
      </w:pPr>
    </w:p>
    <w:p w:rsidR="00000000" w:rsidRPr="006B76ED" w:rsidP="006B76ED">
      <w:pPr>
        <w:pStyle w:val="AllowPageBreak"/>
      </w:pPr>
    </w:p>
    <w:p w:rsidR="00000000" w:rsidRPr="006B76ED" w:rsidP="006B76ED">
      <w:pPr>
        <w:pStyle w:val="Heading1"/>
      </w:pPr>
      <w:bookmarkStart w:id="7" w:name="O_627884"/>
      <w:bookmarkEnd w:id="7"/>
      <w:r w:rsidRPr="006B76ED">
        <w:t>Foundation Skills</w:t>
      </w:r>
    </w:p>
    <w:p w:rsidR="00000000" w:rsidRPr="006B76ED" w:rsidP="0076417D">
      <w:pPr>
        <w:pStyle w:val="BodyText"/>
      </w:pPr>
      <w:r w:rsidRPr="006B76ED">
        <w:t>Foundation skills essential to perfo</w:t>
      </w:r>
      <w:r w:rsidRPr="006B76ED">
        <w:t xml:space="preserve">rmance are explicit in the performance criteria of this unit of competency. Detail on appropriate performance levels for each furnishing unit of competency in reading, writing, oral communication and numeracy utilising the Australian Core Skills Framework </w:t>
      </w:r>
      <w:r w:rsidRPr="006B76ED">
        <w:t>(ACSF) are provided in the Furnishing Training Package Implementation Guide.</w:t>
      </w:r>
    </w:p>
    <w:p w:rsidR="00000000" w:rsidRPr="006B76ED" w:rsidP="006B76ED">
      <w:pPr>
        <w:pStyle w:val="Heading1"/>
      </w:pPr>
      <w:bookmarkStart w:id="8" w:name="O_627883"/>
      <w:bookmarkEnd w:id="8"/>
      <w:r w:rsidRPr="006B76ED">
        <w:t>Range of Conditions</w:t>
      </w:r>
    </w:p>
    <w:tbl>
      <w:tblPr>
        <w:tblW w:w="0" w:type="auto"/>
        <w:tblLayout w:type="fixed"/>
        <w:tblCellMar>
          <w:left w:w="62" w:type="dxa"/>
          <w:right w:w="62" w:type="dxa"/>
        </w:tblCellMar>
        <w:tblLook w:val="0000"/>
      </w:tblPr>
      <w:tblGrid>
        <w:gridCol w:w="2760"/>
        <w:gridCol w:w="6312"/>
      </w:tblGrid>
      <w:tr w:rsidTr="006B76E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B76ED">
            <w:pPr>
              <w:pStyle w:val="BodyText"/>
              <w:rPr>
                <w:lang w:val="en-NZ"/>
              </w:rPr>
            </w:pPr>
            <w:r w:rsidRPr="006B76ED">
              <w:t>Specifies different work environments and conditions that may affect performance. Essential operating conditions that may be present (dependin</w:t>
            </w:r>
            <w:r w:rsidRPr="006B76ED">
              <w:t>g on the work situation, needs of the candidate, accessibility of the item, and local industry and regional contexts) are included. Range is restricted to essential operating conditions and any other variables essential to the work environment.</w:t>
            </w:r>
          </w:p>
        </w:tc>
      </w:tr>
      <w:tr w:rsidTr="006B76E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B76ED">
            <w:pPr>
              <w:pStyle w:val="BodyText"/>
              <w:rPr>
                <w:lang w:val="en-NZ"/>
              </w:rPr>
            </w:pPr>
            <w:r w:rsidRPr="006B76ED">
              <w:rPr>
                <w:rStyle w:val="SpecialBold"/>
              </w:rPr>
              <w:t>Unit cont</w:t>
            </w:r>
            <w:r w:rsidRPr="006B76ED">
              <w:rPr>
                <w:rStyle w:val="SpecialBold"/>
              </w:rPr>
              <w:t>ext includes:</w:t>
            </w:r>
          </w:p>
        </w:tc>
        <w:tc>
          <w:tcPr>
            <w:tcW w:w="6312" w:type="dxa"/>
            <w:tcBorders>
              <w:top w:val="nil"/>
              <w:left w:val="nil"/>
              <w:bottom w:val="nil"/>
              <w:right w:val="nil"/>
            </w:tcBorders>
            <w:tcMar>
              <w:top w:w="0" w:type="dxa"/>
              <w:left w:w="62" w:type="dxa"/>
              <w:bottom w:w="0" w:type="dxa"/>
              <w:right w:w="62" w:type="dxa"/>
            </w:tcMar>
          </w:tcPr>
          <w:p w:rsidR="00000000" w:rsidRPr="006B76ED" w:rsidP="006B76ED">
            <w:pPr>
              <w:pStyle w:val="ListBullet"/>
            </w:pPr>
            <w:r w:rsidRPr="006B76ED">
              <w:t xml:space="preserve">work health and safety (WHS) requirements, including legislation, building codes, material safety management systems, hazardous and dangerous goods codes, and local safe operating procedures or equivalent </w:t>
            </w:r>
          </w:p>
          <w:p w:rsidR="00000000" w:rsidRPr="006B76ED" w:rsidP="006B76ED">
            <w:pPr>
              <w:pStyle w:val="ListBullet"/>
            </w:pPr>
            <w:r w:rsidRPr="006B76ED">
              <w:t>work is carried out in accordance w</w:t>
            </w:r>
            <w:r w:rsidRPr="006B76ED">
              <w:t xml:space="preserve">ith legislative obligations, environmental legislation, relevant health regulations, manual handling procedures, Liveable and Accessible Housing Design guidelines, and organisation insurance requirements </w:t>
            </w:r>
          </w:p>
          <w:p w:rsidR="00000000" w:rsidP="006B76ED">
            <w:pPr>
              <w:pStyle w:val="ListBullet"/>
              <w:rPr>
                <w:lang w:val="en-NZ"/>
              </w:rPr>
            </w:pPr>
            <w:r w:rsidRPr="006B76ED">
              <w:t>work requires individual to demonstrate discretion,</w:t>
            </w:r>
            <w:r w:rsidRPr="006B76ED">
              <w:t xml:space="preserve"> judgement and problem solving, plus self-management and learning skills</w:t>
            </w:r>
          </w:p>
        </w:tc>
      </w:tr>
      <w:tr w:rsidTr="006B76E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B76ED">
            <w:pPr>
              <w:pStyle w:val="BodyText"/>
              <w:rPr>
                <w:lang w:val="en-NZ"/>
              </w:rPr>
            </w:pPr>
            <w:r w:rsidRPr="006B76ED">
              <w:rPr>
                <w:rStyle w:val="SpecialBold"/>
              </w:rPr>
              <w:t>Sets of documents include:</w:t>
            </w:r>
          </w:p>
        </w:tc>
        <w:tc>
          <w:tcPr>
            <w:tcW w:w="6312" w:type="dxa"/>
            <w:tcBorders>
              <w:top w:val="nil"/>
              <w:left w:val="nil"/>
              <w:bottom w:val="nil"/>
              <w:right w:val="nil"/>
            </w:tcBorders>
            <w:tcMar>
              <w:top w:w="0" w:type="dxa"/>
              <w:left w:w="62" w:type="dxa"/>
              <w:bottom w:w="0" w:type="dxa"/>
              <w:right w:w="62" w:type="dxa"/>
            </w:tcMar>
          </w:tcPr>
          <w:p w:rsidR="00000000" w:rsidRPr="006B76ED" w:rsidP="006B76ED">
            <w:pPr>
              <w:pStyle w:val="ListBullet"/>
            </w:pPr>
            <w:r w:rsidRPr="006B76ED">
              <w:t>drawings</w:t>
            </w:r>
          </w:p>
          <w:p w:rsidR="00000000" w:rsidRPr="006B76ED" w:rsidP="006B76ED">
            <w:pPr>
              <w:pStyle w:val="ListBullet"/>
            </w:pPr>
            <w:r w:rsidRPr="006B76ED">
              <w:t>plans</w:t>
            </w:r>
          </w:p>
          <w:p w:rsidR="00000000" w:rsidRPr="006B76ED" w:rsidP="006B76ED">
            <w:pPr>
              <w:pStyle w:val="ListBullet"/>
            </w:pPr>
            <w:r w:rsidRPr="006B76ED">
              <w:t>schedules</w:t>
            </w:r>
          </w:p>
          <w:p w:rsidR="00000000" w:rsidRPr="006B76ED" w:rsidP="006B76ED">
            <w:pPr>
              <w:pStyle w:val="ListBullet"/>
            </w:pPr>
            <w:r w:rsidRPr="006B76ED">
              <w:t xml:space="preserve">specifications </w:t>
            </w:r>
          </w:p>
          <w:p w:rsidR="00000000" w:rsidP="006B76ED">
            <w:pPr>
              <w:pStyle w:val="ListBullet"/>
              <w:rPr>
                <w:lang w:val="en-NZ"/>
              </w:rPr>
            </w:pPr>
            <w:r w:rsidRPr="006B76ED">
              <w:t>bill of quantities</w:t>
            </w:r>
          </w:p>
        </w:tc>
      </w:tr>
      <w:tr w:rsidTr="006B76E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B76ED">
            <w:pPr>
              <w:pStyle w:val="BodyText"/>
              <w:rPr>
                <w:lang w:val="en-NZ"/>
              </w:rPr>
            </w:pPr>
            <w:r w:rsidRPr="006B76ED">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6B76ED">
            <w:pPr>
              <w:pStyle w:val="ListBullet"/>
              <w:rPr>
                <w:lang w:val="en-NZ"/>
              </w:rPr>
            </w:pPr>
            <w:r w:rsidRPr="006B76ED">
              <w:t xml:space="preserve">that prescribed under legislation, regulations and enterprise policies and practices </w:t>
            </w:r>
          </w:p>
        </w:tc>
      </w:tr>
      <w:tr w:rsidTr="006B76E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B76ED">
            <w:pPr>
              <w:pStyle w:val="BodyText"/>
              <w:rPr>
                <w:lang w:val="en-NZ"/>
              </w:rPr>
            </w:pPr>
            <w:r w:rsidRPr="006B76ED">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6B76ED" w:rsidP="006B76ED">
            <w:pPr>
              <w:pStyle w:val="ListBullet"/>
            </w:pPr>
            <w:r w:rsidRPr="006B76ED">
              <w:t xml:space="preserve">work instructions, including plans, drawings and designs </w:t>
            </w:r>
          </w:p>
          <w:p w:rsidR="00000000" w:rsidRPr="006B76ED" w:rsidP="006B76ED">
            <w:pPr>
              <w:pStyle w:val="ListBullet"/>
            </w:pPr>
            <w:r w:rsidRPr="006B76ED">
              <w:t xml:space="preserve">workplace procedures relating to reporting and communication </w:t>
            </w:r>
          </w:p>
          <w:p w:rsidR="00000000" w:rsidRPr="006B76ED" w:rsidP="006B76ED">
            <w:pPr>
              <w:pStyle w:val="ListBullet"/>
            </w:pPr>
            <w:r w:rsidRPr="006B76ED">
              <w:t>manufacturer specifications and operational procedures</w:t>
            </w:r>
          </w:p>
        </w:tc>
      </w:tr>
    </w:tbl>
    <w:p w:rsidR="00000000" w:rsidRPr="006B76ED" w:rsidP="006B76ED">
      <w:pPr>
        <w:pStyle w:val="BodyText"/>
      </w:pPr>
    </w:p>
    <w:p w:rsidR="00000000" w:rsidRPr="006B76ED" w:rsidP="006B76ED">
      <w:pPr>
        <w:pStyle w:val="AllowPageBreak"/>
      </w:pPr>
    </w:p>
    <w:p w:rsidR="00000000" w:rsidRPr="006B76ED" w:rsidP="006B76ED">
      <w:pPr>
        <w:pStyle w:val="Heading1"/>
      </w:pPr>
      <w:bookmarkStart w:id="9" w:name="O_627882"/>
      <w:bookmarkEnd w:id="9"/>
      <w:r w:rsidRPr="006B76ED">
        <w:t>Unit Mapping Information</w:t>
      </w:r>
    </w:p>
    <w:p w:rsidR="00000000" w:rsidRPr="006B76ED" w:rsidP="0076417D">
      <w:pPr>
        <w:pStyle w:val="BodyText"/>
      </w:pPr>
      <w:r w:rsidRPr="006B76ED">
        <w:t>Supersedes and is equivalent to LMFID4007A Identify materials, construction techniques and methods used in building interiors.</w:t>
      </w:r>
    </w:p>
    <w:p w:rsidR="00000000" w:rsidRPr="006B76ED" w:rsidP="006B76ED">
      <w:pPr>
        <w:pStyle w:val="Heading1"/>
      </w:pPr>
      <w:bookmarkStart w:id="10" w:name="O_627875"/>
      <w:bookmarkEnd w:id="10"/>
      <w:r w:rsidRPr="006B76ED">
        <w:t>Links</w:t>
      </w:r>
    </w:p>
    <w:p w:rsidR="00000000" w:rsidRPr="006B76ED" w:rsidP="0076417D">
      <w:pPr>
        <w:pStyle w:val="BodyText"/>
      </w:pPr>
      <w:r w:rsidRPr="006B76ED">
        <w:t>Compani</w:t>
      </w:r>
      <w:r w:rsidRPr="006B76ED">
        <w:t xml:space="preserve">on Volume implementation guides are found in VETNet - </w:t>
      </w:r>
      <w:r>
        <w:fldChar w:fldCharType="begin"/>
      </w:r>
      <w:r>
        <w:instrText xml:space="preserve"> HYPERLINK "https://vetnet.gov.au/Pages/TrainingDocs.aspx?q=0601ab95-583a-4e93-b2d4-cfb27b03ed73" </w:instrText>
      </w:r>
      <w:r>
        <w:fldChar w:fldCharType="separate"/>
      </w:r>
      <w:r w:rsidRPr="004F3275">
        <w:rPr>
          <w:rStyle w:val="Hyperlink"/>
        </w:rPr>
        <w:t>https://vetnet.gov.au/Pages/TrainingDocs.aspx?q=0601ab95-583a-4e93-b2d4-cfb27b03ed73</w:t>
      </w:r>
      <w:r>
        <w:fldChar w:fldCharType="end"/>
      </w:r>
    </w:p>
    <w:p w:rsidR="00000000" w:rsidRPr="006B76ED" w:rsidP="0076417D">
      <w:pPr>
        <w:pStyle w:val="BodyText"/>
        <w:sectPr w:rsidSect="006B76ED">
          <w:headerReference w:type="default" r:id="rId10"/>
          <w:footerReference w:type="default" r:id="rId11"/>
          <w:pgSz w:w="11908" w:h="16833"/>
          <w:pgMar w:top="1702" w:right="1418" w:bottom="1702" w:left="1418" w:header="992" w:footer="992" w:gutter="0"/>
          <w:cols w:space="720"/>
          <w:noEndnote/>
          <w:docGrid w:linePitch="299"/>
        </w:sectPr>
      </w:pPr>
    </w:p>
    <w:p w:rsidR="00000000" w:rsidRPr="006B76ED" w:rsidP="006B76ED">
      <w:pPr>
        <w:pStyle w:val="SuperHeading"/>
      </w:pPr>
      <w:r w:rsidRPr="006B76ED">
        <w:t>Assessment Requirements for MSFID4007 Identify materials, construction</w:t>
      </w:r>
      <w:r w:rsidRPr="006B76ED">
        <w:t xml:space="preserve"> techniques and methods used in building interiors</w:t>
      </w:r>
    </w:p>
    <w:p w:rsidR="00000000" w:rsidRPr="006B76ED" w:rsidP="006B76ED">
      <w:pPr>
        <w:pStyle w:val="Heading1"/>
      </w:pPr>
      <w:bookmarkStart w:id="11" w:name="O_627877"/>
      <w:bookmarkEnd w:id="11"/>
      <w:r w:rsidRPr="006B76ED">
        <w:t>Modification History</w:t>
      </w:r>
    </w:p>
    <w:p w:rsidR="00000000" w:rsidRPr="006B76ED" w:rsidP="0076417D">
      <w:pPr>
        <w:pStyle w:val="BodyText"/>
      </w:pPr>
      <w:r w:rsidRPr="006B76ED">
        <w:t>Release 1 - New unit of competency</w:t>
      </w:r>
    </w:p>
    <w:p w:rsidR="00000000" w:rsidRPr="006B76ED" w:rsidP="006B76ED">
      <w:pPr>
        <w:pStyle w:val="Heading1"/>
      </w:pPr>
      <w:bookmarkStart w:id="12" w:name="O_627880"/>
      <w:bookmarkEnd w:id="12"/>
      <w:r w:rsidRPr="006B76ED">
        <w:t>Performance Evidence</w:t>
      </w:r>
    </w:p>
    <w:p w:rsidR="00000000" w:rsidRPr="006B76ED" w:rsidP="006B76ED">
      <w:pPr>
        <w:pStyle w:val="ListBullet"/>
      </w:pPr>
      <w:r w:rsidRPr="006B76ED">
        <w:t xml:space="preserve">Interpret work orders and locate and apply relevant information </w:t>
      </w:r>
    </w:p>
    <w:p w:rsidR="00000000" w:rsidRPr="006B76ED" w:rsidP="006B76ED">
      <w:pPr>
        <w:pStyle w:val="ListBullet"/>
      </w:pPr>
      <w:r w:rsidRPr="006B76ED">
        <w:t xml:space="preserve">Apply safe handling requirements for equipment, products and materials, including use of personal protective equipment </w:t>
      </w:r>
    </w:p>
    <w:p w:rsidR="00000000" w:rsidRPr="006B76ED" w:rsidP="006B76ED">
      <w:pPr>
        <w:pStyle w:val="ListBullet"/>
      </w:pPr>
      <w:r w:rsidRPr="006B76ED">
        <w:t xml:space="preserve">Identify materials used in the work process </w:t>
      </w:r>
    </w:p>
    <w:p w:rsidR="00000000" w:rsidRPr="006B76ED" w:rsidP="006B76ED">
      <w:pPr>
        <w:pStyle w:val="ListBullet"/>
      </w:pPr>
      <w:r w:rsidRPr="006B76ED">
        <w:t xml:space="preserve">Follow work instructions, operating procedures and inspection processes to: </w:t>
      </w:r>
    </w:p>
    <w:p w:rsidR="00000000" w:rsidRPr="006B76ED" w:rsidP="006B76ED">
      <w:pPr>
        <w:pStyle w:val="ListBullet2"/>
      </w:pPr>
      <w:r w:rsidRPr="006B76ED">
        <w:t xml:space="preserve">minimise the </w:t>
      </w:r>
      <w:r w:rsidRPr="006B76ED">
        <w:t xml:space="preserve">risk of injury to self or others </w:t>
      </w:r>
    </w:p>
    <w:p w:rsidR="00000000" w:rsidRPr="006B76ED" w:rsidP="006B76ED">
      <w:pPr>
        <w:pStyle w:val="ListBullet2"/>
      </w:pPr>
      <w:r w:rsidRPr="006B76ED">
        <w:t xml:space="preserve">prevent damage to goods, equipment and products </w:t>
      </w:r>
    </w:p>
    <w:p w:rsidR="00000000" w:rsidRPr="006B76ED" w:rsidP="006B76ED">
      <w:pPr>
        <w:pStyle w:val="ListBullet2"/>
      </w:pPr>
      <w:r w:rsidRPr="006B76ED">
        <w:t xml:space="preserve">maintain required production output and product quality </w:t>
      </w:r>
    </w:p>
    <w:p w:rsidR="00000000" w:rsidRPr="006B76ED" w:rsidP="006B76ED">
      <w:pPr>
        <w:pStyle w:val="ListBullet"/>
      </w:pPr>
      <w:r w:rsidRPr="006B76ED">
        <w:t xml:space="preserve">Access and interpret information about building materials and processes and identify key elements and </w:t>
      </w:r>
      <w:r w:rsidRPr="006B76ED">
        <w:t>participants in the building process</w:t>
      </w:r>
    </w:p>
    <w:p w:rsidR="00000000" w:rsidRPr="006B76ED" w:rsidP="006B76ED">
      <w:pPr>
        <w:pStyle w:val="ListBullet"/>
      </w:pPr>
      <w:r w:rsidRPr="006B76ED">
        <w:t xml:space="preserve">Use mathematical ideas and techniques to correctly complete measurements, calculate area/volume and estimate material requirements </w:t>
      </w:r>
    </w:p>
    <w:p w:rsidR="00000000" w:rsidRPr="006B76ED" w:rsidP="006B76ED">
      <w:pPr>
        <w:pStyle w:val="ListBullet"/>
      </w:pPr>
      <w:r w:rsidRPr="006B76ED">
        <w:t>Communicate ideas and information to enable confirmation of work requirements and speci</w:t>
      </w:r>
      <w:r w:rsidRPr="006B76ED">
        <w:t xml:space="preserve">fications, presentation of design/colour concepts, the reporting of work outcomes and problems </w:t>
      </w:r>
    </w:p>
    <w:p w:rsidR="00000000" w:rsidRPr="006B76ED" w:rsidP="006B76ED">
      <w:pPr>
        <w:pStyle w:val="ListBullet"/>
      </w:pPr>
      <w:r w:rsidRPr="006B76ED">
        <w:t xml:space="preserve">Present findings in a creative and convincing format </w:t>
      </w:r>
    </w:p>
    <w:p w:rsidR="00000000" w:rsidRPr="006B76ED" w:rsidP="006B76ED">
      <w:pPr>
        <w:pStyle w:val="ListBullet"/>
      </w:pPr>
      <w:r w:rsidRPr="006B76ED">
        <w:t>Avoid backtracking, work flow interruptions or wastage</w:t>
      </w:r>
    </w:p>
    <w:p w:rsidR="00000000" w:rsidRPr="006B76ED" w:rsidP="006B76ED">
      <w:pPr>
        <w:pStyle w:val="ListBullet"/>
      </w:pPr>
      <w:r w:rsidRPr="006B76ED">
        <w:t>Work with others and in a team by recognising depen</w:t>
      </w:r>
      <w:r w:rsidRPr="006B76ED">
        <w:t>dencies and using cooperative approaches to optimise work flow and productivity</w:t>
      </w:r>
    </w:p>
    <w:p w:rsidR="00000000" w:rsidRPr="006B76ED" w:rsidP="006B76ED">
      <w:pPr>
        <w:pStyle w:val="AllowPageBreak"/>
      </w:pPr>
    </w:p>
    <w:p w:rsidR="00000000" w:rsidRPr="006B76ED" w:rsidP="006B76ED">
      <w:pPr>
        <w:pStyle w:val="Heading1"/>
      </w:pPr>
      <w:bookmarkStart w:id="13" w:name="O_627879"/>
      <w:bookmarkEnd w:id="13"/>
      <w:r w:rsidRPr="006B76ED">
        <w:t>Knowledge Evidence</w:t>
      </w:r>
    </w:p>
    <w:p w:rsidR="00000000" w:rsidRPr="006B76ED" w:rsidP="006B76ED">
      <w:pPr>
        <w:pStyle w:val="ListBullet"/>
      </w:pPr>
      <w:r w:rsidRPr="006B76ED">
        <w:t>State or territory WHS legislation, regulations, standards and codes of practice relevant to the full range of processes for identifying bu</w:t>
      </w:r>
      <w:r w:rsidRPr="006B76ED">
        <w:t>ilding materials and methods</w:t>
      </w:r>
    </w:p>
    <w:p w:rsidR="00000000" w:rsidRPr="006B76ED" w:rsidP="006B76ED">
      <w:pPr>
        <w:pStyle w:val="ListBullet"/>
      </w:pPr>
      <w:r w:rsidRPr="006B76ED">
        <w:t>Organisational and site standards, requirements, policies and procedures for identifying building materials and methods</w:t>
      </w:r>
    </w:p>
    <w:p w:rsidR="00000000" w:rsidRPr="006B76ED" w:rsidP="006B76ED">
      <w:pPr>
        <w:pStyle w:val="ListBullet"/>
      </w:pPr>
      <w:r w:rsidRPr="006B76ED">
        <w:t>Relevant Australian Standards and the Building Code of Australia (BCA)</w:t>
      </w:r>
    </w:p>
    <w:p w:rsidR="00000000" w:rsidRPr="006B76ED" w:rsidP="006B76ED">
      <w:pPr>
        <w:pStyle w:val="ListBullet"/>
      </w:pPr>
      <w:r w:rsidRPr="006B76ED">
        <w:t>Awareness of different forms of cons</w:t>
      </w:r>
      <w:r w:rsidRPr="006B76ED">
        <w:t>truction</w:t>
      </w:r>
    </w:p>
    <w:p w:rsidR="00000000" w:rsidRPr="006B76ED" w:rsidP="006B76ED">
      <w:pPr>
        <w:pStyle w:val="ListBullet"/>
      </w:pPr>
      <w:r w:rsidRPr="006B76ED">
        <w:t>Local environmental plans and relevant building authorities</w:t>
      </w:r>
    </w:p>
    <w:p w:rsidR="00000000" w:rsidRPr="006B76ED" w:rsidP="006B76ED">
      <w:pPr>
        <w:pStyle w:val="ListBullet"/>
      </w:pPr>
      <w:r w:rsidRPr="006B76ED">
        <w:t>Basic building and architectural terminology</w:t>
      </w:r>
    </w:p>
    <w:p w:rsidR="00000000" w:rsidRPr="006B76ED" w:rsidP="006B76ED">
      <w:pPr>
        <w:pStyle w:val="ListBullet"/>
      </w:pPr>
      <w:r w:rsidRPr="006B76ED">
        <w:t>Common structural and non-structural components of a residential building</w:t>
      </w:r>
    </w:p>
    <w:p w:rsidR="00000000" w:rsidRPr="006B76ED" w:rsidP="006B76ED">
      <w:pPr>
        <w:pStyle w:val="ListBullet"/>
      </w:pPr>
      <w:r w:rsidRPr="006B76ED">
        <w:t>Geographical implications of a building site/location</w:t>
      </w:r>
    </w:p>
    <w:p w:rsidR="00000000" w:rsidRPr="006B76ED" w:rsidP="006B76ED">
      <w:pPr>
        <w:pStyle w:val="ListBullet"/>
      </w:pPr>
      <w:r w:rsidRPr="006B76ED">
        <w:t>Materials and methods involved in the refurbishment of a wet area</w:t>
      </w:r>
    </w:p>
    <w:p w:rsidR="00000000" w:rsidRPr="006B76ED" w:rsidP="006B76ED">
      <w:pPr>
        <w:pStyle w:val="ListBullet"/>
      </w:pPr>
      <w:r w:rsidRPr="006B76ED">
        <w:t>Materials and methods involved in the construction and installation of contemporary built-in cabinetry</w:t>
      </w:r>
    </w:p>
    <w:p w:rsidR="00000000" w:rsidRPr="006B76ED" w:rsidP="006B76ED">
      <w:pPr>
        <w:pStyle w:val="ListBullet"/>
      </w:pPr>
      <w:r w:rsidRPr="006B76ED">
        <w:t>Equipment involved in the installation of home theatre systems</w:t>
      </w:r>
    </w:p>
    <w:p w:rsidR="00000000" w:rsidRPr="006B76ED" w:rsidP="006B76ED">
      <w:pPr>
        <w:pStyle w:val="ListBullet"/>
      </w:pPr>
      <w:r w:rsidRPr="006B76ED">
        <w:t>Climate control devices,</w:t>
      </w:r>
      <w:r w:rsidRPr="006B76ED">
        <w:t xml:space="preserve"> including fans, heaters and air conditioners</w:t>
      </w:r>
    </w:p>
    <w:p w:rsidR="00000000" w:rsidRPr="006B76ED" w:rsidP="006B76ED">
      <w:pPr>
        <w:pStyle w:val="ListBullet"/>
      </w:pPr>
      <w:r w:rsidRPr="006B76ED">
        <w:t>Relevant research techniques</w:t>
      </w:r>
    </w:p>
    <w:p w:rsidR="00000000" w:rsidRPr="006B76ED" w:rsidP="006B76ED">
      <w:pPr>
        <w:pStyle w:val="ListBullet"/>
      </w:pPr>
      <w:r w:rsidRPr="006B76ED">
        <w:t>Residential building demolition methods</w:t>
      </w:r>
    </w:p>
    <w:p w:rsidR="00000000" w:rsidRPr="006B76ED" w:rsidP="006B76ED">
      <w:pPr>
        <w:pStyle w:val="ListBullet"/>
      </w:pPr>
      <w:r w:rsidRPr="006B76ED">
        <w:t>Construction trades, techniques and materials associated with each stage</w:t>
      </w:r>
    </w:p>
    <w:p w:rsidR="00000000" w:rsidRPr="006B76ED" w:rsidP="006B76ED">
      <w:pPr>
        <w:pStyle w:val="ListBullet"/>
      </w:pPr>
      <w:r w:rsidRPr="006B76ED">
        <w:t>Residential building process</w:t>
      </w:r>
    </w:p>
    <w:p w:rsidR="00000000" w:rsidRPr="006B76ED" w:rsidP="006B76ED">
      <w:pPr>
        <w:pStyle w:val="AllowPageBreak"/>
      </w:pPr>
    </w:p>
    <w:p w:rsidR="00000000" w:rsidRPr="006B76ED" w:rsidP="006B76ED">
      <w:pPr>
        <w:pStyle w:val="Heading1"/>
      </w:pPr>
      <w:bookmarkStart w:id="14" w:name="O_627878"/>
      <w:bookmarkEnd w:id="14"/>
      <w:r w:rsidRPr="006B76ED">
        <w:t>Assessment Conditions</w:t>
      </w:r>
    </w:p>
    <w:p w:rsidR="00000000" w:rsidRPr="006B76ED" w:rsidP="006B76ED">
      <w:pPr>
        <w:pStyle w:val="ListBullet"/>
      </w:pPr>
      <w:r w:rsidRPr="006B76ED">
        <w:t>Assessors must:</w:t>
      </w:r>
    </w:p>
    <w:p w:rsidR="00000000" w:rsidRPr="006B76ED" w:rsidP="006B76ED">
      <w:pPr>
        <w:pStyle w:val="ListBullet2"/>
      </w:pPr>
      <w:r w:rsidRPr="006B76ED">
        <w:t>hold training and assessment competencies as determined by the National Skills Standards Council (NSSC) or its successors</w:t>
      </w:r>
    </w:p>
    <w:p w:rsidR="00000000" w:rsidRPr="006B76ED" w:rsidP="006B76ED">
      <w:pPr>
        <w:pStyle w:val="ListBullet2"/>
      </w:pPr>
      <w:r w:rsidRPr="006B76ED">
        <w:t xml:space="preserve">have vocational competency in the furnishing industry at </w:t>
      </w:r>
      <w:r w:rsidRPr="006B76ED">
        <w:t xml:space="preserve">least to the level being assessed with broad industry knowledge and experience, usually combined with a relevant industry qualification </w:t>
      </w:r>
    </w:p>
    <w:p w:rsidR="00000000" w:rsidRPr="006B76ED" w:rsidP="006B76ED">
      <w:pPr>
        <w:pStyle w:val="ListBullet2"/>
      </w:pPr>
      <w:r w:rsidRPr="006B76ED">
        <w:t>be familiar with the current skills and knowledge used and have relevant, current experience in the furnishing industry</w:t>
      </w:r>
      <w:r w:rsidRPr="006B76ED">
        <w:t>.</w:t>
      </w:r>
    </w:p>
    <w:p w:rsidR="00000000" w:rsidRPr="006B76ED" w:rsidP="006B76ED">
      <w:pPr>
        <w:pStyle w:val="ListBullet"/>
      </w:pPr>
      <w:r w:rsidRPr="006B76ED">
        <w:t xml:space="preserve">Assessment methods must confirm consistency of performance over time rather than a single assessment event and in a range of workplace relevant contexts. </w:t>
      </w:r>
    </w:p>
    <w:p w:rsidR="00000000" w:rsidRPr="006B76ED" w:rsidP="006B76ED">
      <w:pPr>
        <w:pStyle w:val="ListBullet"/>
      </w:pPr>
      <w:r w:rsidRPr="006B76ED">
        <w:t>Assessment must be by observation of relevant tasks with questioning on underpinning knowledge and</w:t>
      </w:r>
      <w:r w:rsidRPr="006B76ED">
        <w:t xml:space="preserve">, where applicable, multimedia evidence, supervisor’s reports, projects and work samples. </w:t>
      </w:r>
    </w:p>
    <w:p w:rsidR="00000000" w:rsidRPr="006B76ED" w:rsidP="006B76ED">
      <w:pPr>
        <w:pStyle w:val="ListBullet"/>
      </w:pPr>
      <w:r w:rsidRPr="006B76ED">
        <w:t>Assessment is to be conducted on single units of competency or in conjunction with other related units of competency. Foundation skills are integral to competent per</w:t>
      </w:r>
      <w:r w:rsidRPr="006B76ED">
        <w:t>formance in the unit and should not be assessed separately.</w:t>
      </w:r>
    </w:p>
    <w:p w:rsidR="00000000" w:rsidRPr="006B76ED" w:rsidP="006B76ED">
      <w:pPr>
        <w:pStyle w:val="ListBullet"/>
      </w:pPr>
      <w:r w:rsidRPr="006B76ED">
        <w:t>Assessment must occur on the job or in a workplace simulated facility with relevant process, equipment, materials, work instructions and deadlines.</w:t>
      </w:r>
    </w:p>
    <w:p w:rsidR="00000000" w:rsidRPr="006B76ED" w:rsidP="006B76ED">
      <w:pPr>
        <w:pStyle w:val="ListBullet"/>
      </w:pPr>
      <w:r w:rsidRPr="006B76ED">
        <w:t>Access is required to materials, equipment and s</w:t>
      </w:r>
      <w:r w:rsidRPr="006B76ED">
        <w:t>pecifications relevant to identifying materials, techniques and methods used in building interiors.</w:t>
      </w:r>
    </w:p>
    <w:p w:rsidR="00000000" w:rsidRPr="006B76ED" w:rsidP="006B76ED">
      <w:pPr>
        <w:pStyle w:val="AllowPageBreak"/>
      </w:pPr>
    </w:p>
    <w:p w:rsidR="00000000" w:rsidRPr="006B76ED" w:rsidP="006B76ED">
      <w:pPr>
        <w:pStyle w:val="Heading1"/>
      </w:pPr>
      <w:bookmarkStart w:id="15" w:name="O_627876"/>
      <w:bookmarkEnd w:id="15"/>
      <w:r w:rsidRPr="006B76ED">
        <w:t>Links</w:t>
      </w:r>
    </w:p>
    <w:p w:rsidR="00000000" w:rsidRPr="006B76ED" w:rsidP="0076417D">
      <w:pPr>
        <w:pStyle w:val="BodyText"/>
      </w:pPr>
      <w:r w:rsidRPr="006B76ED">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4F3275">
        <w:rPr>
          <w:rStyle w:val="Hyperlink"/>
        </w:rPr>
        <w:t>https://vetnet.gov.au/Pages/TrainingDocs.aspx?q=0601ab95-583a-4e93-b2d4-cfb27b03ed73</w:t>
      </w:r>
      <w:r>
        <w:fldChar w:fldCharType="end"/>
      </w:r>
    </w:p>
    <w:p w:rsidR="00000000" w:rsidRPr="006B76ED" w:rsidP="006B76ED"/>
    <w:sectPr w:rsidSect="006B76E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6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6ED" w:rsidRPr="0076417D" w:rsidP="007641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6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17D" w:rsidP="006B76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6417D" w:rsidP="006B76E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6417D" w:rsidP="006B76E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6ED" w:rsidP="006B76ED">
    <w:pPr>
      <w:pStyle w:val="Footer"/>
      <w:framePr w:wrap="around"/>
    </w:pPr>
    <w:r>
      <w:fldChar w:fldCharType="begin"/>
    </w:r>
    <w:r>
      <w:instrText xml:space="preserve"> DOCPROPERTY  Subject  \* MERGEFORMAT </w:instrText>
    </w:r>
    <w:r>
      <w:fldChar w:fldCharType="separate"/>
    </w:r>
    <w:r w:rsidR="0076417D">
      <w:t>Approved</w:t>
    </w:r>
    <w:r w:rsidR="0076417D">
      <w:fldChar w:fldCharType="end"/>
    </w:r>
    <w:r>
      <w:tab/>
      <w:t xml:space="preserve">Page </w:t>
    </w:r>
    <w:r>
      <w:fldChar w:fldCharType="begin"/>
    </w:r>
    <w:r>
      <w:instrText xml:space="preserve"> PAGE  \* Arabic  \* MERGEFORMAT </w:instrText>
    </w:r>
    <w:r>
      <w:fldChar w:fldCharType="separate"/>
    </w:r>
    <w:r w:rsidR="0076417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6417D">
      <w:rPr>
        <w:noProof/>
      </w:rPr>
      <w:t>5</w:t>
    </w:r>
    <w:r>
      <w:rPr>
        <w:noProof/>
      </w:rPr>
      <w:fldChar w:fldCharType="end"/>
    </w:r>
  </w:p>
  <w:p w:rsidR="006B76ED" w:rsidP="006B76ED">
    <w:pPr>
      <w:pStyle w:val="Footer"/>
      <w:framePr w:wrap="around"/>
    </w:pPr>
    <w:r>
      <w:t xml:space="preserve">© Commonwealth of Australia, </w:t>
    </w:r>
    <w:r>
      <w:fldChar w:fldCharType="begin"/>
    </w:r>
    <w:r>
      <w:instrText xml:space="preserve"> DATE  \@ "yyyy"  \* MERGEFORMAT </w:instrText>
    </w:r>
    <w:r>
      <w:fldChar w:fldCharType="separate"/>
    </w:r>
    <w:r w:rsidR="0076417D">
      <w:rPr>
        <w:noProof/>
      </w:rPr>
      <w:t>2025</w:t>
    </w:r>
    <w:r>
      <w:fldChar w:fldCharType="end"/>
    </w:r>
    <w:r>
      <w:tab/>
    </w:r>
    <w:r>
      <w:fldChar w:fldCharType="begin"/>
    </w:r>
    <w:r>
      <w:instrText xml:space="preserve"> DOCPROPERTY  Author  \* MERGEFORMAT </w:instrText>
    </w:r>
    <w:r>
      <w:fldChar w:fldCharType="separate"/>
    </w:r>
    <w:r w:rsidR="0076417D">
      <w:t>Skills Insight</w:t>
    </w:r>
    <w:r w:rsidR="0076417D">
      <w:fldChar w:fldCharType="end"/>
    </w:r>
  </w:p>
  <w:p w:rsidR="006B76ED" w:rsidP="006B76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6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1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76ED" w:rsidRPr="0076417D" w:rsidP="007641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6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17D" w:rsidRPr="002D2AF8" w:rsidP="006B76ED">
    <w:pPr>
      <w:pStyle w:val="Header"/>
      <w:framePr w:wrap="around"/>
    </w:pPr>
    <w:r>
      <w:fldChar w:fldCharType="begin"/>
    </w:r>
    <w:r>
      <w:instrText xml:space="preserve"> TITLE   \* MERGEFORMAT </w:instrText>
    </w:r>
    <w:r>
      <w:fldChar w:fldCharType="separate"/>
    </w:r>
    <w:r>
      <w:t>MSFID4007 Identify materials, construction techniques and methods used in building interiors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6417D" w:rsidP="006B76E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6ED" w:rsidRPr="002D2AF8" w:rsidP="006B76ED">
    <w:pPr>
      <w:pStyle w:val="Header"/>
      <w:framePr w:wrap="around"/>
    </w:pPr>
    <w:r>
      <w:fldChar w:fldCharType="begin"/>
    </w:r>
    <w:r>
      <w:instrText xml:space="preserve"> TITLE   \* MERGEFORMAT </w:instrText>
    </w:r>
    <w:r>
      <w:fldChar w:fldCharType="separate"/>
    </w:r>
    <w:r w:rsidR="0076417D">
      <w:t>MSFID4007 Identify materials, construction techniques and methods used in building interiors</w:t>
    </w:r>
    <w:r w:rsidR="0076417D">
      <w:fldChar w:fldCharType="end"/>
    </w:r>
    <w:r>
      <w:tab/>
      <w:t xml:space="preserve">Date this document was generated: </w:t>
    </w:r>
    <w:r>
      <w:fldChar w:fldCharType="begin"/>
    </w:r>
    <w:r>
      <w:instrText xml:space="preserve"> CREATEDATE  \@ "d MMMM yyyy"  \* MERGEFORMAT </w:instrText>
    </w:r>
    <w:r>
      <w:fldChar w:fldCharType="separate"/>
    </w:r>
    <w:r w:rsidR="0076417D">
      <w:rPr>
        <w:noProof/>
      </w:rPr>
      <w:t>2 March 2025</w:t>
    </w:r>
    <w:r>
      <w:fldChar w:fldCharType="end"/>
    </w:r>
  </w:p>
  <w:p w:rsidR="006B76ED" w:rsidP="006B76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240B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6C0A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5CD6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76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76ED"/>
    <w:pPr>
      <w:spacing w:before="360" w:after="60"/>
      <w:outlineLvl w:val="0"/>
    </w:pPr>
    <w:rPr>
      <w:sz w:val="32"/>
    </w:rPr>
  </w:style>
  <w:style w:type="paragraph" w:styleId="Heading2">
    <w:name w:val="heading 2"/>
    <w:basedOn w:val="HeadingBase"/>
    <w:next w:val="BodyText"/>
    <w:link w:val="Heading2Char"/>
    <w:qFormat/>
    <w:rsid w:val="006B76ED"/>
    <w:pPr>
      <w:keepLines/>
      <w:spacing w:before="240" w:after="120"/>
      <w:outlineLvl w:val="1"/>
    </w:pPr>
    <w:rPr>
      <w:sz w:val="28"/>
      <w:szCs w:val="40"/>
    </w:rPr>
  </w:style>
  <w:style w:type="paragraph" w:styleId="Heading3">
    <w:name w:val="heading 3"/>
    <w:basedOn w:val="HeadingBase"/>
    <w:next w:val="BodyText"/>
    <w:link w:val="Heading3Char"/>
    <w:qFormat/>
    <w:rsid w:val="006B76ED"/>
    <w:pPr>
      <w:spacing w:before="180" w:after="120"/>
      <w:outlineLvl w:val="2"/>
    </w:pPr>
    <w:rPr>
      <w:spacing w:val="-10"/>
      <w:kern w:val="32"/>
    </w:rPr>
  </w:style>
  <w:style w:type="paragraph" w:styleId="Heading4">
    <w:name w:val="heading 4"/>
    <w:basedOn w:val="HeadingBase"/>
    <w:next w:val="BodyText"/>
    <w:link w:val="Heading4Char"/>
    <w:qFormat/>
    <w:rsid w:val="006B76ED"/>
    <w:pPr>
      <w:spacing w:before="160" w:after="120"/>
      <w:outlineLvl w:val="3"/>
    </w:pPr>
    <w:rPr>
      <w:sz w:val="22"/>
    </w:rPr>
  </w:style>
  <w:style w:type="paragraph" w:styleId="Heading5">
    <w:name w:val="heading 5"/>
    <w:basedOn w:val="HeadingBase"/>
    <w:next w:val="Normal"/>
    <w:link w:val="Heading5Char"/>
    <w:qFormat/>
    <w:rsid w:val="006B76ED"/>
    <w:pPr>
      <w:spacing w:before="80"/>
      <w:outlineLvl w:val="4"/>
    </w:pPr>
    <w:rPr>
      <w:color w:val="918585"/>
      <w:sz w:val="20"/>
    </w:rPr>
  </w:style>
  <w:style w:type="paragraph" w:styleId="Heading6">
    <w:name w:val="heading 6"/>
    <w:basedOn w:val="HeadingBase"/>
    <w:next w:val="Normal"/>
    <w:link w:val="Heading6Char"/>
    <w:qFormat/>
    <w:rsid w:val="006B76ED"/>
    <w:pPr>
      <w:spacing w:before="60"/>
      <w:outlineLvl w:val="5"/>
    </w:pPr>
    <w:rPr>
      <w:color w:val="918585"/>
      <w:sz w:val="20"/>
    </w:rPr>
  </w:style>
  <w:style w:type="paragraph" w:styleId="Heading7">
    <w:name w:val="heading 7"/>
    <w:basedOn w:val="Normal"/>
    <w:next w:val="Normal"/>
    <w:link w:val="Heading7Char"/>
    <w:qFormat/>
    <w:rsid w:val="006B76ED"/>
    <w:pPr>
      <w:ind w:left="720"/>
      <w:outlineLvl w:val="6"/>
    </w:pPr>
    <w:rPr>
      <w:i/>
    </w:rPr>
  </w:style>
  <w:style w:type="paragraph" w:styleId="Heading8">
    <w:name w:val="heading 8"/>
    <w:basedOn w:val="Normal"/>
    <w:next w:val="Normal"/>
    <w:link w:val="Heading8Char"/>
    <w:qFormat/>
    <w:rsid w:val="006B76ED"/>
    <w:pPr>
      <w:ind w:left="720"/>
      <w:outlineLvl w:val="7"/>
    </w:pPr>
    <w:rPr>
      <w:i/>
    </w:rPr>
  </w:style>
  <w:style w:type="paragraph" w:styleId="Heading9">
    <w:name w:val="heading 9"/>
    <w:basedOn w:val="Normal"/>
    <w:next w:val="Normal"/>
    <w:link w:val="Heading9Char"/>
    <w:qFormat/>
    <w:rsid w:val="006B76ED"/>
    <w:pPr>
      <w:ind w:left="720"/>
      <w:outlineLvl w:val="8"/>
    </w:pPr>
    <w:rPr>
      <w:i/>
    </w:rPr>
  </w:style>
  <w:style w:type="character" w:default="1" w:styleId="DefaultParagraphFont">
    <w:name w:val="Default Paragraph Font"/>
    <w:uiPriority w:val="1"/>
    <w:unhideWhenUsed/>
    <w:rsid w:val="006B76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76ED"/>
  </w:style>
  <w:style w:type="character" w:customStyle="1" w:styleId="Heading1Char">
    <w:name w:val="Heading 1 Char"/>
    <w:basedOn w:val="DefaultParagraphFont"/>
    <w:link w:val="Heading1"/>
    <w:rsid w:val="006B76ED"/>
    <w:rPr>
      <w:rFonts w:ascii="Times New Roman" w:eastAsia="Times New Roman" w:hAnsi="Times New Roman" w:cs="Times New Roman"/>
      <w:b/>
      <w:sz w:val="32"/>
      <w:szCs w:val="20"/>
      <w:lang w:eastAsia="en-US"/>
    </w:rPr>
  </w:style>
  <w:style w:type="paragraph" w:styleId="BodyText">
    <w:name w:val="Body Text"/>
    <w:basedOn w:val="Normal"/>
    <w:link w:val="BodyTextChar"/>
    <w:rsid w:val="006B76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76ED"/>
    <w:rPr>
      <w:rFonts w:ascii="Times New Roman" w:eastAsia="Times New Roman" w:hAnsi="Times New Roman" w:cs="Times New Roman"/>
      <w:sz w:val="24"/>
      <w:lang w:eastAsia="en-US"/>
    </w:rPr>
  </w:style>
  <w:style w:type="paragraph" w:styleId="ListBullet">
    <w:name w:val="List Bullet"/>
    <w:basedOn w:val="List"/>
    <w:rsid w:val="006B76ED"/>
    <w:pPr>
      <w:numPr>
        <w:numId w:val="12"/>
      </w:numPr>
      <w:tabs>
        <w:tab w:val="clear" w:pos="340"/>
      </w:tabs>
      <w:spacing w:before="40" w:after="40"/>
    </w:pPr>
  </w:style>
  <w:style w:type="character" w:customStyle="1" w:styleId="SpecialBold">
    <w:name w:val="Special Bold"/>
    <w:basedOn w:val="DefaultParagraphFont"/>
    <w:rsid w:val="006B76ED"/>
    <w:rPr>
      <w:b/>
      <w:spacing w:val="0"/>
    </w:rPr>
  </w:style>
  <w:style w:type="paragraph" w:styleId="ListBullet2">
    <w:name w:val="List Bullet 2"/>
    <w:basedOn w:val="List2"/>
    <w:rsid w:val="006B76ED"/>
    <w:pPr>
      <w:numPr>
        <w:numId w:val="13"/>
      </w:numPr>
      <w:tabs>
        <w:tab w:val="clear" w:pos="680"/>
      </w:tabs>
    </w:pPr>
  </w:style>
  <w:style w:type="character" w:styleId="Emphasis">
    <w:name w:val="Emphasis"/>
    <w:basedOn w:val="DefaultParagraphFont"/>
    <w:qFormat/>
    <w:rsid w:val="006B76ED"/>
    <w:rPr>
      <w:i/>
    </w:rPr>
  </w:style>
  <w:style w:type="paragraph" w:customStyle="1" w:styleId="SuperHeading">
    <w:name w:val="SuperHeading"/>
    <w:basedOn w:val="Normal"/>
    <w:rsid w:val="006B76ED"/>
    <w:pPr>
      <w:spacing w:before="240" w:after="120"/>
      <w:outlineLvl w:val="0"/>
    </w:pPr>
    <w:rPr>
      <w:rFonts w:ascii="Times New Roman" w:hAnsi="Times New Roman"/>
      <w:b/>
      <w:sz w:val="32"/>
    </w:rPr>
  </w:style>
  <w:style w:type="paragraph" w:customStyle="1" w:styleId="AllowPageBreak">
    <w:name w:val="AllowPageBreak"/>
    <w:rsid w:val="006B76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B76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76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76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76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76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76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76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76ED"/>
    <w:rPr>
      <w:rFonts w:ascii="Courier New" w:eastAsia="Times New Roman" w:hAnsi="Courier New" w:cs="Times New Roman"/>
      <w:i/>
      <w:szCs w:val="20"/>
      <w:lang w:eastAsia="en-US"/>
    </w:rPr>
  </w:style>
  <w:style w:type="paragraph" w:customStyle="1" w:styleId="HeadingBase">
    <w:name w:val="Heading Base"/>
    <w:rsid w:val="006B76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76ED"/>
    <w:pPr>
      <w:tabs>
        <w:tab w:val="right" w:leader="dot" w:pos="9072"/>
      </w:tabs>
      <w:ind w:left="567"/>
    </w:pPr>
    <w:rPr>
      <w:szCs w:val="22"/>
    </w:rPr>
  </w:style>
  <w:style w:type="paragraph" w:customStyle="1" w:styleId="TOCBase">
    <w:name w:val="TOC Base"/>
    <w:rsid w:val="006B76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76ED"/>
    <w:pPr>
      <w:tabs>
        <w:tab w:val="right" w:leader="dot" w:pos="9072"/>
      </w:tabs>
      <w:spacing w:before="40" w:after="40"/>
      <w:ind w:left="284"/>
    </w:pPr>
    <w:rPr>
      <w:rFonts w:ascii="Times New Roman" w:hAnsi="Times New Roman"/>
    </w:rPr>
  </w:style>
  <w:style w:type="paragraph" w:styleId="TOC1">
    <w:name w:val="toc 1"/>
    <w:basedOn w:val="TOCBase"/>
    <w:next w:val="Normal"/>
    <w:rsid w:val="006B76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76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76ED"/>
    <w:rPr>
      <w:rFonts w:ascii="Times New Roman" w:eastAsia="Times New Roman" w:hAnsi="Times New Roman" w:cs="Times New Roman"/>
      <w:sz w:val="16"/>
      <w:lang w:eastAsia="en-US"/>
    </w:rPr>
  </w:style>
  <w:style w:type="paragraph" w:styleId="Title">
    <w:name w:val="Title"/>
    <w:basedOn w:val="HeadingBase"/>
    <w:link w:val="TitleChar"/>
    <w:qFormat/>
    <w:rsid w:val="006B76ED"/>
    <w:pPr>
      <w:spacing w:before="5040"/>
      <w:jc w:val="center"/>
    </w:pPr>
    <w:rPr>
      <w:sz w:val="48"/>
      <w:szCs w:val="72"/>
      <w:lang w:val="en-US"/>
    </w:rPr>
  </w:style>
  <w:style w:type="character" w:customStyle="1" w:styleId="TitleChar">
    <w:name w:val="Title Char"/>
    <w:basedOn w:val="DefaultParagraphFont"/>
    <w:link w:val="Title"/>
    <w:rsid w:val="006B76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76ED"/>
    <w:pPr>
      <w:tabs>
        <w:tab w:val="left" w:pos="3600"/>
        <w:tab w:val="left" w:pos="3958"/>
      </w:tabs>
    </w:pPr>
  </w:style>
  <w:style w:type="paragraph" w:styleId="List">
    <w:name w:val="List"/>
    <w:basedOn w:val="BodyText"/>
    <w:next w:val="BodyText"/>
    <w:rsid w:val="006B76ED"/>
    <w:pPr>
      <w:tabs>
        <w:tab w:val="left" w:pos="340"/>
      </w:tabs>
      <w:spacing w:before="60" w:after="60"/>
      <w:ind w:left="340" w:hanging="340"/>
    </w:pPr>
  </w:style>
  <w:style w:type="paragraph" w:customStyle="1" w:styleId="Note">
    <w:name w:val="Note"/>
    <w:basedOn w:val="BodyText"/>
    <w:rsid w:val="006B76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76ED"/>
    <w:pPr>
      <w:framePr w:wrap="auto" w:hAnchor="text" w:y="6049"/>
    </w:pPr>
    <w:rPr>
      <w:color w:val="000000"/>
      <w:sz w:val="40"/>
    </w:rPr>
  </w:style>
  <w:style w:type="paragraph" w:customStyle="1" w:styleId="TOCTitle">
    <w:name w:val="TOCTitle"/>
    <w:basedOn w:val="Heading1"/>
    <w:rsid w:val="006B76ED"/>
    <w:pPr>
      <w:spacing w:after="240"/>
      <w:jc w:val="center"/>
      <w:outlineLvl w:val="9"/>
    </w:pPr>
    <w:rPr>
      <w:caps/>
    </w:rPr>
  </w:style>
  <w:style w:type="paragraph" w:customStyle="1" w:styleId="Version">
    <w:name w:val="Version"/>
    <w:rsid w:val="006B76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76ED"/>
    <w:pPr>
      <w:keepNext w:val="0"/>
      <w:tabs>
        <w:tab w:val="right" w:pos="4176"/>
      </w:tabs>
      <w:ind w:left="198" w:hanging="198"/>
    </w:pPr>
    <w:rPr>
      <w:rFonts w:ascii="Garamond" w:hAnsi="Garamond"/>
    </w:rPr>
  </w:style>
  <w:style w:type="paragraph" w:styleId="IndexHeading">
    <w:name w:val="index heading"/>
    <w:basedOn w:val="Normal"/>
    <w:next w:val="Index1"/>
    <w:semiHidden/>
    <w:rsid w:val="006B76ED"/>
    <w:pPr>
      <w:spacing w:before="120" w:after="120"/>
    </w:pPr>
    <w:rPr>
      <w:rFonts w:ascii="Arial" w:hAnsi="Arial"/>
      <w:b/>
      <w:color w:val="918585"/>
      <w:sz w:val="24"/>
    </w:rPr>
  </w:style>
  <w:style w:type="paragraph" w:styleId="Header">
    <w:name w:val="header"/>
    <w:basedOn w:val="Normal"/>
    <w:link w:val="HeaderChar"/>
    <w:rsid w:val="006B76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76ED"/>
    <w:rPr>
      <w:rFonts w:ascii="Times New Roman" w:eastAsia="Times New Roman" w:hAnsi="Times New Roman" w:cs="Times New Roman"/>
      <w:sz w:val="16"/>
      <w:szCs w:val="20"/>
      <w:lang w:val="en-GB" w:eastAsia="en-US"/>
    </w:rPr>
  </w:style>
  <w:style w:type="paragraph" w:customStyle="1" w:styleId="Chapter">
    <w:name w:val="Chapter"/>
    <w:basedOn w:val="Normal"/>
    <w:rsid w:val="006B76ED"/>
    <w:pPr>
      <w:spacing w:before="240"/>
    </w:pPr>
    <w:rPr>
      <w:rFonts w:ascii="Times New Roman" w:hAnsi="Times New Roman"/>
      <w:smallCaps/>
      <w:spacing w:val="80"/>
      <w:sz w:val="28"/>
    </w:rPr>
  </w:style>
  <w:style w:type="paragraph" w:customStyle="1" w:styleId="InChapter">
    <w:name w:val="InChapter"/>
    <w:basedOn w:val="Heading3"/>
    <w:rsid w:val="006B76ED"/>
    <w:pPr>
      <w:spacing w:after="240"/>
      <w:outlineLvl w:val="9"/>
    </w:pPr>
    <w:rPr>
      <w:noProof/>
    </w:rPr>
  </w:style>
  <w:style w:type="paragraph" w:styleId="Index2">
    <w:name w:val="index 2"/>
    <w:basedOn w:val="Normal"/>
    <w:next w:val="Normal"/>
    <w:semiHidden/>
    <w:rsid w:val="006B76ED"/>
    <w:pPr>
      <w:tabs>
        <w:tab w:val="right" w:pos="4176"/>
      </w:tabs>
      <w:ind w:left="568" w:hanging="284"/>
    </w:pPr>
    <w:rPr>
      <w:rFonts w:ascii="Garamond" w:hAnsi="Garamond"/>
    </w:rPr>
  </w:style>
  <w:style w:type="paragraph" w:customStyle="1" w:styleId="Byline">
    <w:name w:val="Byline"/>
    <w:rsid w:val="006B76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76ED"/>
    <w:pPr>
      <w:tabs>
        <w:tab w:val="clear" w:pos="3600"/>
        <w:tab w:val="clear" w:pos="3958"/>
      </w:tabs>
      <w:jc w:val="right"/>
    </w:pPr>
  </w:style>
  <w:style w:type="paragraph" w:styleId="Caption">
    <w:name w:val="caption"/>
    <w:basedOn w:val="BodyText"/>
    <w:next w:val="Normal"/>
    <w:qFormat/>
    <w:rsid w:val="006B76ED"/>
    <w:pPr>
      <w:framePr w:w="2268" w:hSpace="181" w:vSpace="181" w:wrap="around" w:vAnchor="text" w:hAnchor="page" w:x="1135" w:y="285" w:anchorLock="1"/>
    </w:pPr>
    <w:rPr>
      <w:i/>
    </w:rPr>
  </w:style>
  <w:style w:type="paragraph" w:customStyle="1" w:styleId="MiniTOCTitle">
    <w:name w:val="MiniTOCTitle"/>
    <w:basedOn w:val="Heading4"/>
    <w:rsid w:val="006B76ED"/>
    <w:pPr>
      <w:spacing w:before="240"/>
      <w:outlineLvl w:val="9"/>
    </w:pPr>
    <w:rPr>
      <w:noProof/>
      <w:sz w:val="24"/>
    </w:rPr>
  </w:style>
  <w:style w:type="paragraph" w:customStyle="1" w:styleId="MiniTOCItem">
    <w:name w:val="MiniTOCItem"/>
    <w:basedOn w:val="ListBullet"/>
    <w:rsid w:val="006B76ED"/>
    <w:pPr>
      <w:numPr>
        <w:numId w:val="0"/>
      </w:numPr>
      <w:tabs>
        <w:tab w:val="right" w:leader="dot" w:pos="6521"/>
      </w:tabs>
      <w:spacing w:before="0" w:after="0"/>
    </w:pPr>
  </w:style>
  <w:style w:type="paragraph" w:customStyle="1" w:styleId="TOFTitle">
    <w:name w:val="TOFTitle"/>
    <w:basedOn w:val="TOCTitle"/>
    <w:rsid w:val="006B76ED"/>
  </w:style>
  <w:style w:type="paragraph" w:styleId="TableofFigures">
    <w:name w:val="table of figures"/>
    <w:basedOn w:val="Normal"/>
    <w:next w:val="Normal"/>
    <w:semiHidden/>
    <w:rsid w:val="006B76ED"/>
    <w:pPr>
      <w:tabs>
        <w:tab w:val="right" w:leader="dot" w:pos="9072"/>
      </w:tabs>
      <w:ind w:left="970" w:hanging="403"/>
    </w:pPr>
    <w:rPr>
      <w:rFonts w:ascii="Times New Roman" w:hAnsi="Times New Roman"/>
      <w:b/>
    </w:rPr>
  </w:style>
  <w:style w:type="paragraph" w:styleId="ListNumber">
    <w:name w:val="List Number"/>
    <w:basedOn w:val="List"/>
    <w:rsid w:val="006B76ED"/>
    <w:pPr>
      <w:numPr>
        <w:numId w:val="15"/>
      </w:numPr>
      <w:tabs>
        <w:tab w:val="clear" w:pos="340"/>
      </w:tabs>
    </w:pPr>
  </w:style>
  <w:style w:type="character" w:customStyle="1" w:styleId="WingdingSymbols">
    <w:name w:val="Wingding Symbols"/>
    <w:rsid w:val="006B76ED"/>
    <w:rPr>
      <w:rFonts w:ascii="Wingdings" w:hAnsi="Wingdings"/>
    </w:rPr>
  </w:style>
  <w:style w:type="paragraph" w:customStyle="1" w:styleId="TableHeading">
    <w:name w:val="Table Heading"/>
    <w:basedOn w:val="HeadingBase"/>
    <w:rsid w:val="006B76ED"/>
    <w:pPr>
      <w:keepLines/>
      <w:pBdr>
        <w:bottom w:val="single" w:sz="6" w:space="1" w:color="918585"/>
      </w:pBdr>
      <w:spacing w:before="240"/>
    </w:pPr>
  </w:style>
  <w:style w:type="character" w:customStyle="1" w:styleId="HotSpot">
    <w:name w:val="HotSpot"/>
    <w:rsid w:val="006B76ED"/>
    <w:rPr>
      <w:color w:val="0033CC"/>
      <w:u w:val="none"/>
    </w:rPr>
  </w:style>
  <w:style w:type="paragraph" w:customStyle="1" w:styleId="BodyTextRight">
    <w:name w:val="Body Text Right"/>
    <w:basedOn w:val="BodyText"/>
    <w:rsid w:val="006B76ED"/>
    <w:pPr>
      <w:spacing w:before="0" w:after="0"/>
      <w:jc w:val="right"/>
    </w:pPr>
  </w:style>
  <w:style w:type="paragraph" w:styleId="Index3">
    <w:name w:val="index 3"/>
    <w:basedOn w:val="ListNumber2"/>
    <w:next w:val="Normal"/>
    <w:semiHidden/>
    <w:rsid w:val="006B76ED"/>
    <w:pPr>
      <w:numPr>
        <w:numId w:val="0"/>
      </w:numPr>
      <w:tabs>
        <w:tab w:val="right" w:leader="dot" w:pos="4176"/>
      </w:tabs>
    </w:pPr>
  </w:style>
  <w:style w:type="paragraph" w:styleId="ListNumber2">
    <w:name w:val="List Number 2"/>
    <w:basedOn w:val="List2"/>
    <w:rsid w:val="006B76ED"/>
    <w:pPr>
      <w:numPr>
        <w:numId w:val="10"/>
      </w:numPr>
      <w:tabs>
        <w:tab w:val="clear" w:pos="1060"/>
      </w:tabs>
    </w:pPr>
  </w:style>
  <w:style w:type="paragraph" w:customStyle="1" w:styleId="MarginNote">
    <w:name w:val="Margin Note"/>
    <w:basedOn w:val="BodyText"/>
    <w:rsid w:val="006B76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76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76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76ED"/>
    <w:rPr>
      <w:sz w:val="32"/>
    </w:rPr>
  </w:style>
  <w:style w:type="paragraph" w:customStyle="1" w:styleId="HeadingProcedure">
    <w:name w:val="Heading Procedure"/>
    <w:basedOn w:val="HeadingBase"/>
    <w:next w:val="Normal"/>
    <w:rsid w:val="006B76ED"/>
    <w:pPr>
      <w:tabs>
        <w:tab w:val="left" w:pos="0"/>
      </w:tabs>
      <w:spacing w:before="120" w:after="60"/>
    </w:pPr>
    <w:rPr>
      <w:i/>
      <w:color w:val="918585"/>
      <w:sz w:val="22"/>
    </w:rPr>
  </w:style>
  <w:style w:type="paragraph" w:customStyle="1" w:styleId="TableBodyText">
    <w:name w:val="Table Body Text"/>
    <w:basedOn w:val="BodyText"/>
    <w:rsid w:val="006B76ED"/>
    <w:pPr>
      <w:spacing w:before="60" w:after="60"/>
    </w:pPr>
  </w:style>
  <w:style w:type="paragraph" w:styleId="ListContinue">
    <w:name w:val="List Continue"/>
    <w:basedOn w:val="List"/>
    <w:rsid w:val="006B76ED"/>
    <w:pPr>
      <w:ind w:firstLine="0"/>
    </w:pPr>
  </w:style>
  <w:style w:type="paragraph" w:customStyle="1" w:styleId="ListNote">
    <w:name w:val="List Note"/>
    <w:basedOn w:val="List"/>
    <w:rsid w:val="006B76ED"/>
    <w:pPr>
      <w:pBdr>
        <w:top w:val="single" w:sz="6" w:space="2" w:color="918585"/>
        <w:bottom w:val="single" w:sz="6" w:space="2" w:color="918585"/>
      </w:pBdr>
      <w:tabs>
        <w:tab w:val="left" w:pos="1021"/>
      </w:tabs>
      <w:ind w:firstLine="0"/>
    </w:pPr>
  </w:style>
  <w:style w:type="paragraph" w:customStyle="1" w:styleId="Warning">
    <w:name w:val="Warning"/>
    <w:basedOn w:val="BodyText"/>
    <w:rsid w:val="006B76ED"/>
    <w:pPr>
      <w:shd w:val="clear" w:color="auto" w:fill="D9D9D9"/>
      <w:tabs>
        <w:tab w:val="left" w:pos="992"/>
      </w:tabs>
      <w:ind w:left="119" w:right="119"/>
    </w:pPr>
    <w:rPr>
      <w:sz w:val="20"/>
    </w:rPr>
  </w:style>
  <w:style w:type="paragraph" w:customStyle="1" w:styleId="MarginIcons">
    <w:name w:val="Margin Icons"/>
    <w:basedOn w:val="BodyText"/>
    <w:rsid w:val="006B76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76ED"/>
    <w:rPr>
      <w:rFonts w:ascii="Courier New" w:hAnsi="Courier New"/>
    </w:rPr>
  </w:style>
  <w:style w:type="paragraph" w:customStyle="1" w:styleId="NoteBullet">
    <w:name w:val="Note Bullet"/>
    <w:basedOn w:val="Note"/>
    <w:rsid w:val="006B76ED"/>
    <w:pPr>
      <w:tabs>
        <w:tab w:val="clear" w:pos="680"/>
      </w:tabs>
      <w:spacing w:before="60" w:after="60"/>
    </w:pPr>
  </w:style>
  <w:style w:type="paragraph" w:customStyle="1" w:styleId="SubHeading2">
    <w:name w:val="SubHeading2"/>
    <w:basedOn w:val="HeadingBase"/>
    <w:rsid w:val="006B76ED"/>
    <w:pPr>
      <w:spacing w:before="240" w:after="60"/>
    </w:pPr>
    <w:rPr>
      <w:sz w:val="20"/>
    </w:rPr>
  </w:style>
  <w:style w:type="paragraph" w:customStyle="1" w:styleId="SubHeading1">
    <w:name w:val="SubHeading1"/>
    <w:basedOn w:val="HeadingBase"/>
    <w:rsid w:val="006B76ED"/>
    <w:pPr>
      <w:spacing w:before="240" w:after="60"/>
    </w:pPr>
    <w:rPr>
      <w:color w:val="918585"/>
      <w:sz w:val="22"/>
    </w:rPr>
  </w:style>
  <w:style w:type="paragraph" w:customStyle="1" w:styleId="SideHeading">
    <w:name w:val="Side Heading"/>
    <w:basedOn w:val="HeadingBase"/>
    <w:rsid w:val="006B76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76ED"/>
    <w:pPr>
      <w:tabs>
        <w:tab w:val="num" w:pos="360"/>
      </w:tabs>
    </w:pPr>
  </w:style>
  <w:style w:type="paragraph" w:styleId="PlainText">
    <w:name w:val="Plain Text"/>
    <w:basedOn w:val="Normal"/>
    <w:link w:val="PlainTextChar"/>
    <w:rsid w:val="006B76ED"/>
    <w:rPr>
      <w:sz w:val="20"/>
    </w:rPr>
  </w:style>
  <w:style w:type="character" w:customStyle="1" w:styleId="PlainTextChar">
    <w:name w:val="Plain Text Char"/>
    <w:basedOn w:val="DefaultParagraphFont"/>
    <w:link w:val="PlainText"/>
    <w:rsid w:val="006B76ED"/>
    <w:rPr>
      <w:rFonts w:ascii="Courier New" w:eastAsia="Times New Roman" w:hAnsi="Courier New" w:cs="Times New Roman"/>
      <w:sz w:val="20"/>
      <w:szCs w:val="20"/>
      <w:lang w:eastAsia="en-US"/>
    </w:rPr>
  </w:style>
  <w:style w:type="character" w:customStyle="1" w:styleId="MenuOption">
    <w:name w:val="Menu Option"/>
    <w:basedOn w:val="DefaultParagraphFont"/>
    <w:rsid w:val="006B76ED"/>
    <w:rPr>
      <w:b/>
      <w:smallCaps/>
    </w:rPr>
  </w:style>
  <w:style w:type="paragraph" w:customStyle="1" w:styleId="TableListNumber">
    <w:name w:val="Table List Number"/>
    <w:basedOn w:val="ListNumber"/>
    <w:rsid w:val="006B76ED"/>
    <w:pPr>
      <w:numPr>
        <w:numId w:val="0"/>
      </w:numPr>
    </w:pPr>
  </w:style>
  <w:style w:type="paragraph" w:styleId="TOC4">
    <w:name w:val="toc 4"/>
    <w:basedOn w:val="TOCBase"/>
    <w:next w:val="Normal"/>
    <w:semiHidden/>
    <w:rsid w:val="006B76ED"/>
    <w:pPr>
      <w:tabs>
        <w:tab w:val="right" w:leader="dot" w:pos="9071"/>
      </w:tabs>
      <w:ind w:left="1701"/>
    </w:pPr>
  </w:style>
  <w:style w:type="paragraph" w:customStyle="1" w:styleId="ListAlpha">
    <w:name w:val="List Alpha"/>
    <w:basedOn w:val="List"/>
    <w:rsid w:val="006B76ED"/>
    <w:pPr>
      <w:numPr>
        <w:numId w:val="9"/>
      </w:numPr>
    </w:pPr>
  </w:style>
  <w:style w:type="paragraph" w:customStyle="1" w:styleId="ListAlpha2">
    <w:name w:val="List Alpha 2"/>
    <w:basedOn w:val="List2"/>
    <w:rsid w:val="006B76ED"/>
    <w:pPr>
      <w:numPr>
        <w:numId w:val="8"/>
      </w:numPr>
    </w:pPr>
  </w:style>
  <w:style w:type="paragraph" w:styleId="List2">
    <w:name w:val="List 2"/>
    <w:basedOn w:val="BodyText"/>
    <w:rsid w:val="006B76ED"/>
    <w:pPr>
      <w:tabs>
        <w:tab w:val="left" w:pos="680"/>
      </w:tabs>
      <w:spacing w:before="60" w:after="60"/>
      <w:ind w:left="680" w:hanging="340"/>
    </w:pPr>
  </w:style>
  <w:style w:type="paragraph" w:styleId="List3">
    <w:name w:val="List 3"/>
    <w:basedOn w:val="BodyText"/>
    <w:rsid w:val="006B76ED"/>
    <w:pPr>
      <w:tabs>
        <w:tab w:val="left" w:pos="1021"/>
      </w:tabs>
      <w:spacing w:before="60" w:after="60"/>
      <w:ind w:left="1020" w:hanging="340"/>
    </w:pPr>
  </w:style>
  <w:style w:type="paragraph" w:styleId="List4">
    <w:name w:val="List 4"/>
    <w:basedOn w:val="BodyText"/>
    <w:rsid w:val="006B76ED"/>
    <w:pPr>
      <w:tabs>
        <w:tab w:val="left" w:pos="1361"/>
      </w:tabs>
      <w:spacing w:before="60" w:after="60"/>
      <w:ind w:left="1361" w:hanging="340"/>
    </w:pPr>
  </w:style>
  <w:style w:type="paragraph" w:styleId="List5">
    <w:name w:val="List 5"/>
    <w:basedOn w:val="BodyText"/>
    <w:rsid w:val="006B76ED"/>
    <w:pPr>
      <w:tabs>
        <w:tab w:val="left" w:pos="1701"/>
      </w:tabs>
      <w:spacing w:before="60" w:after="60"/>
      <w:ind w:left="1701" w:hanging="340"/>
    </w:pPr>
  </w:style>
  <w:style w:type="paragraph" w:styleId="ListBullet3">
    <w:name w:val="List Bullet 3"/>
    <w:basedOn w:val="List3"/>
    <w:rsid w:val="006B76ED"/>
    <w:pPr>
      <w:numPr>
        <w:numId w:val="14"/>
      </w:numPr>
      <w:tabs>
        <w:tab w:val="clear" w:pos="1021"/>
      </w:tabs>
      <w:ind w:left="1037" w:hanging="357"/>
    </w:pPr>
  </w:style>
  <w:style w:type="paragraph" w:styleId="ListBullet4">
    <w:name w:val="List Bullet 4"/>
    <w:basedOn w:val="List4"/>
    <w:rsid w:val="006B76ED"/>
    <w:pPr>
      <w:numPr>
        <w:numId w:val="3"/>
      </w:numPr>
      <w:tabs>
        <w:tab w:val="clear" w:pos="1361"/>
      </w:tabs>
    </w:pPr>
  </w:style>
  <w:style w:type="paragraph" w:styleId="ListBullet5">
    <w:name w:val="List Bullet 5"/>
    <w:basedOn w:val="List5"/>
    <w:rsid w:val="006B76ED"/>
    <w:pPr>
      <w:numPr>
        <w:numId w:val="4"/>
      </w:numPr>
    </w:pPr>
  </w:style>
  <w:style w:type="paragraph" w:styleId="ListContinue2">
    <w:name w:val="List Continue 2"/>
    <w:basedOn w:val="List2"/>
    <w:rsid w:val="006B76ED"/>
    <w:pPr>
      <w:ind w:firstLine="0"/>
    </w:pPr>
  </w:style>
  <w:style w:type="paragraph" w:styleId="ListContinue3">
    <w:name w:val="List Continue 3"/>
    <w:basedOn w:val="List3"/>
    <w:rsid w:val="006B76ED"/>
    <w:pPr>
      <w:ind w:left="1021" w:firstLine="0"/>
    </w:pPr>
  </w:style>
  <w:style w:type="paragraph" w:styleId="ListContinue4">
    <w:name w:val="List Continue 4"/>
    <w:basedOn w:val="List4"/>
    <w:rsid w:val="006B76ED"/>
    <w:pPr>
      <w:ind w:firstLine="0"/>
    </w:pPr>
  </w:style>
  <w:style w:type="paragraph" w:styleId="ListContinue5">
    <w:name w:val="List Continue 5"/>
    <w:basedOn w:val="List5"/>
    <w:rsid w:val="006B76ED"/>
    <w:pPr>
      <w:ind w:firstLine="0"/>
    </w:pPr>
  </w:style>
  <w:style w:type="paragraph" w:styleId="ListNumber3">
    <w:name w:val="List Number 3"/>
    <w:basedOn w:val="List3"/>
    <w:rsid w:val="006B76ED"/>
    <w:pPr>
      <w:numPr>
        <w:numId w:val="5"/>
      </w:numPr>
    </w:pPr>
  </w:style>
  <w:style w:type="paragraph" w:styleId="ListNumber4">
    <w:name w:val="List Number 4"/>
    <w:basedOn w:val="List4"/>
    <w:rsid w:val="006B76ED"/>
    <w:pPr>
      <w:numPr>
        <w:numId w:val="6"/>
      </w:numPr>
    </w:pPr>
  </w:style>
  <w:style w:type="paragraph" w:styleId="ListNumber5">
    <w:name w:val="List Number 5"/>
    <w:basedOn w:val="List5"/>
    <w:rsid w:val="006B76ED"/>
    <w:pPr>
      <w:numPr>
        <w:numId w:val="7"/>
      </w:numPr>
    </w:pPr>
  </w:style>
  <w:style w:type="paragraph" w:styleId="BlockText">
    <w:name w:val="Block Text"/>
    <w:basedOn w:val="Normal"/>
    <w:rsid w:val="006B76ED"/>
    <w:pPr>
      <w:spacing w:after="120"/>
      <w:ind w:left="1440" w:right="1440"/>
    </w:pPr>
  </w:style>
  <w:style w:type="character" w:customStyle="1" w:styleId="Subscript">
    <w:name w:val="Subscript"/>
    <w:basedOn w:val="DefaultParagraphFont"/>
    <w:rsid w:val="006B76ED"/>
    <w:rPr>
      <w:sz w:val="16"/>
      <w:vertAlign w:val="subscript"/>
    </w:rPr>
  </w:style>
  <w:style w:type="character" w:customStyle="1" w:styleId="Superscript">
    <w:name w:val="Superscript"/>
    <w:basedOn w:val="DefaultParagraphFont"/>
    <w:rsid w:val="006B76ED"/>
    <w:rPr>
      <w:sz w:val="16"/>
      <w:vertAlign w:val="superscript"/>
    </w:rPr>
  </w:style>
  <w:style w:type="character" w:customStyle="1" w:styleId="Symbols">
    <w:name w:val="Symbols"/>
    <w:basedOn w:val="DefaultParagraphFont"/>
    <w:rsid w:val="006B76ED"/>
    <w:rPr>
      <w:rFonts w:ascii="Symbol" w:hAnsi="Symbol"/>
    </w:rPr>
  </w:style>
  <w:style w:type="character" w:customStyle="1" w:styleId="MenuOptions">
    <w:name w:val="Menu Options"/>
    <w:basedOn w:val="DefaultParagraphFont"/>
    <w:rsid w:val="006B76ED"/>
    <w:rPr>
      <w:rFonts w:ascii="Arial Narrow" w:hAnsi="Arial Narrow"/>
      <w:smallCaps/>
    </w:rPr>
  </w:style>
  <w:style w:type="character" w:customStyle="1" w:styleId="Buttons">
    <w:name w:val="Buttons"/>
    <w:basedOn w:val="DefaultParagraphFont"/>
    <w:rsid w:val="006B76ED"/>
    <w:rPr>
      <w:b/>
    </w:rPr>
  </w:style>
  <w:style w:type="character" w:customStyle="1" w:styleId="Underlined">
    <w:name w:val="Underlined"/>
    <w:basedOn w:val="DefaultParagraphFont"/>
    <w:rsid w:val="006B76ED"/>
    <w:rPr>
      <w:u w:val="single"/>
    </w:rPr>
  </w:style>
  <w:style w:type="paragraph" w:customStyle="1" w:styleId="TableBodyTextRight">
    <w:name w:val="Table Body Text Right"/>
    <w:basedOn w:val="TableBodyText"/>
    <w:rsid w:val="006B76ED"/>
    <w:pPr>
      <w:widowControl w:val="0"/>
      <w:autoSpaceDE w:val="0"/>
      <w:autoSpaceDN w:val="0"/>
      <w:adjustRightInd w:val="0"/>
      <w:jc w:val="right"/>
    </w:pPr>
    <w:rPr>
      <w:rFonts w:cs="Arial"/>
      <w:szCs w:val="18"/>
    </w:rPr>
  </w:style>
  <w:style w:type="paragraph" w:customStyle="1" w:styleId="CopyrightText">
    <w:name w:val="Copyright Text"/>
    <w:basedOn w:val="BodyText"/>
    <w:rsid w:val="006B76ED"/>
    <w:rPr>
      <w:sz w:val="18"/>
    </w:rPr>
  </w:style>
  <w:style w:type="paragraph" w:customStyle="1" w:styleId="BodySmallRight">
    <w:name w:val="Body Small Right"/>
    <w:basedOn w:val="BodyTextRight"/>
    <w:rsid w:val="006B76ED"/>
    <w:rPr>
      <w:sz w:val="18"/>
      <w:szCs w:val="18"/>
    </w:rPr>
  </w:style>
  <w:style w:type="paragraph" w:customStyle="1" w:styleId="MarginEdition">
    <w:name w:val="Margin Edition"/>
    <w:basedOn w:val="MarginNote"/>
    <w:rsid w:val="006B76ED"/>
    <w:pPr>
      <w:spacing w:before="0" w:after="0"/>
    </w:pPr>
    <w:rPr>
      <w:rFonts w:ascii="Times New Roman" w:hAnsi="Times New Roman"/>
      <w:color w:val="999999"/>
    </w:rPr>
  </w:style>
  <w:style w:type="paragraph" w:customStyle="1" w:styleId="Spacer">
    <w:name w:val="Spacer"/>
    <w:basedOn w:val="Normal"/>
    <w:rsid w:val="006B76ED"/>
    <w:rPr>
      <w:sz w:val="2"/>
      <w:szCs w:val="2"/>
    </w:rPr>
  </w:style>
  <w:style w:type="character" w:customStyle="1" w:styleId="Small">
    <w:name w:val="Small"/>
    <w:basedOn w:val="DefaultParagraphFont"/>
    <w:rsid w:val="006B76ED"/>
    <w:rPr>
      <w:sz w:val="16"/>
    </w:rPr>
  </w:style>
  <w:style w:type="paragraph" w:customStyle="1" w:styleId="WideTable">
    <w:name w:val="Wide Table"/>
    <w:basedOn w:val="Normal"/>
    <w:rsid w:val="006B76ED"/>
    <w:pPr>
      <w:ind w:left="-1418"/>
    </w:pPr>
    <w:rPr>
      <w:sz w:val="2"/>
      <w:szCs w:val="2"/>
    </w:rPr>
  </w:style>
  <w:style w:type="character" w:styleId="PageNumber">
    <w:name w:val="page number"/>
    <w:basedOn w:val="DefaultParagraphFont"/>
    <w:rsid w:val="006B76ED"/>
  </w:style>
  <w:style w:type="paragraph" w:styleId="Quote">
    <w:name w:val="Quote"/>
    <w:basedOn w:val="Heading1"/>
    <w:link w:val="QuoteChar"/>
    <w:qFormat/>
    <w:rsid w:val="006B76ED"/>
    <w:rPr>
      <w:b w:val="0"/>
      <w:sz w:val="72"/>
      <w:szCs w:val="72"/>
      <w:lang w:val="en-NZ"/>
    </w:rPr>
  </w:style>
  <w:style w:type="character" w:customStyle="1" w:styleId="QuoteChar">
    <w:name w:val="Quote Char"/>
    <w:basedOn w:val="DefaultParagraphFont"/>
    <w:link w:val="Quote"/>
    <w:rsid w:val="006B76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76ED"/>
    <w:pPr>
      <w:pageBreakBefore/>
    </w:pPr>
  </w:style>
  <w:style w:type="paragraph" w:customStyle="1" w:styleId="Border">
    <w:name w:val="Border"/>
    <w:basedOn w:val="Normal"/>
    <w:qFormat/>
    <w:rsid w:val="006B76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76ED"/>
    <w:rPr>
      <w:b/>
      <w:bCs/>
      <w:i/>
      <w:iCs/>
      <w:color w:val="auto"/>
    </w:rPr>
  </w:style>
  <w:style w:type="paragraph" w:styleId="IntenseQuote">
    <w:name w:val="Intense Quote"/>
    <w:basedOn w:val="Normal"/>
    <w:next w:val="Normal"/>
    <w:link w:val="IntenseQuoteChar"/>
    <w:uiPriority w:val="30"/>
    <w:qFormat/>
    <w:rsid w:val="006B76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76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76ED"/>
    <w:rPr>
      <w:smallCaps/>
      <w:color w:val="auto"/>
      <w:u w:val="single"/>
    </w:rPr>
  </w:style>
  <w:style w:type="character" w:styleId="IntenseReference">
    <w:name w:val="Intense Reference"/>
    <w:basedOn w:val="DefaultParagraphFont"/>
    <w:uiPriority w:val="32"/>
    <w:qFormat/>
    <w:rsid w:val="006B76ED"/>
    <w:rPr>
      <w:b/>
      <w:bCs/>
      <w:smallCaps/>
      <w:color w:val="auto"/>
      <w:spacing w:val="5"/>
      <w:u w:val="single"/>
    </w:rPr>
  </w:style>
  <w:style w:type="paragraph" w:customStyle="1" w:styleId="2ColumnHeading">
    <w:name w:val="2Column Heading"/>
    <w:basedOn w:val="BodyText"/>
    <w:qFormat/>
    <w:rsid w:val="006B76ED"/>
    <w:pPr>
      <w:spacing w:after="60"/>
      <w:ind w:left="-2268"/>
    </w:pPr>
    <w:rPr>
      <w:b/>
    </w:rPr>
  </w:style>
  <w:style w:type="paragraph" w:customStyle="1" w:styleId="Heading1TOC">
    <w:name w:val="Heading1 TOC"/>
    <w:basedOn w:val="Normal"/>
    <w:qFormat/>
    <w:rsid w:val="006B76ED"/>
    <w:pPr>
      <w:spacing w:before="240" w:after="120"/>
    </w:pPr>
    <w:rPr>
      <w:rFonts w:ascii="Times New Roman" w:hAnsi="Times New Roman"/>
      <w:b/>
      <w:sz w:val="32"/>
    </w:rPr>
  </w:style>
  <w:style w:type="paragraph" w:customStyle="1" w:styleId="Heading2TOC">
    <w:name w:val="Heading2 TOC"/>
    <w:basedOn w:val="Normal"/>
    <w:qFormat/>
    <w:rsid w:val="006B76ED"/>
    <w:pPr>
      <w:spacing w:before="240" w:after="60"/>
    </w:pPr>
    <w:rPr>
      <w:rFonts w:ascii="Times New Roman" w:hAnsi="Times New Roman"/>
      <w:b/>
      <w:sz w:val="28"/>
    </w:rPr>
  </w:style>
  <w:style w:type="character" w:customStyle="1" w:styleId="Underline">
    <w:name w:val="Underline"/>
    <w:basedOn w:val="DefaultParagraphFont"/>
    <w:qFormat/>
    <w:rsid w:val="006B76ED"/>
    <w:rPr>
      <w:u w:val="single"/>
    </w:rPr>
  </w:style>
  <w:style w:type="character" w:customStyle="1" w:styleId="BoldandItalics">
    <w:name w:val="Bold and Italics"/>
    <w:qFormat/>
    <w:rsid w:val="006B76ED"/>
    <w:rPr>
      <w:b/>
      <w:i/>
      <w:u w:val="none"/>
    </w:rPr>
  </w:style>
  <w:style w:type="paragraph" w:styleId="BalloonText">
    <w:name w:val="Balloon Text"/>
    <w:basedOn w:val="Normal"/>
    <w:link w:val="BalloonTextChar"/>
    <w:rsid w:val="006B76ED"/>
    <w:rPr>
      <w:rFonts w:ascii="Tahoma" w:hAnsi="Tahoma" w:cs="Tahoma"/>
      <w:sz w:val="16"/>
      <w:szCs w:val="16"/>
    </w:rPr>
  </w:style>
  <w:style w:type="character" w:customStyle="1" w:styleId="BalloonTextChar">
    <w:name w:val="Balloon Text Char"/>
    <w:basedOn w:val="DefaultParagraphFont"/>
    <w:link w:val="BalloonText"/>
    <w:rsid w:val="006B76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76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76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76ED"/>
    <w:rPr>
      <w:b/>
      <w:color w:val="660033"/>
      <w:spacing w:val="0"/>
    </w:rPr>
  </w:style>
  <w:style w:type="paragraph" w:customStyle="1" w:styleId="Nameditemlist">
    <w:name w:val="Named item list"/>
    <w:basedOn w:val="BodyText"/>
    <w:qFormat/>
    <w:rsid w:val="006B76ED"/>
    <w:pPr>
      <w:tabs>
        <w:tab w:val="left" w:pos="2835"/>
      </w:tabs>
      <w:ind w:left="2835" w:hanging="2835"/>
    </w:pPr>
  </w:style>
  <w:style w:type="paragraph" w:customStyle="1" w:styleId="BodyTextnopadding">
    <w:name w:val="Body Text no padding"/>
    <w:basedOn w:val="BodyText"/>
    <w:qFormat/>
    <w:rsid w:val="006B76ED"/>
    <w:pPr>
      <w:spacing w:before="0" w:after="0"/>
    </w:pPr>
  </w:style>
  <w:style w:type="paragraph" w:customStyle="1" w:styleId="BodyTextBold">
    <w:name w:val="Body Text Bold"/>
    <w:basedOn w:val="BodyText"/>
    <w:qFormat/>
    <w:rsid w:val="006B76ED"/>
    <w:rPr>
      <w:b/>
    </w:rPr>
  </w:style>
  <w:style w:type="character" w:styleId="Hyperlink">
    <w:name w:val="Hyperlink"/>
    <w:basedOn w:val="DefaultParagraphFont"/>
    <w:uiPriority w:val="99"/>
    <w:unhideWhenUsed/>
    <w:rsid w:val="007641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1238</Words>
  <Characters>8177</Characters>
  <Application>Microsoft Office Word</Application>
  <DocSecurity>0</DocSecurity>
  <Lines>263</Lines>
  <Paragraphs>147</Paragraphs>
  <ScaleCrop>false</ScaleCrop>
  <Company>Author-it Software Corporation Ltd.</Company>
  <LinksUpToDate>false</LinksUpToDate>
  <CharactersWithSpaces>9268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MSFID4007 Identify materials, construction techniques and methods used in building interiors</dc:title>
  <dc:subject>Approved</dc:subject>
  <dc:creator>Skills Insight</dc:creator>
  <cp:keywords>Release: 1</cp:keywords>
  <dc:description>Review Date: 12 April 2008</dc:description>
  <cp:lastModifiedBy>HSD_TPCMSd.prod</cp:lastModifiedBy>
  <cp:revision>3</cp:revision>
  <dcterms:created xsi:type="dcterms:W3CDTF">2025-03-01T14:39:00Z</dcterms:created>
  <dcterms:modified xsi:type="dcterms:W3CDTF">2025-03-01T14:39:00Z</dcterms:modified>
</cp:coreProperties>
</file>