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54A0" w:rsidP="00EF54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MSFID4007 Identify materials, construction techniques and methods used in building interiors</w:t>
      </w:r>
      <w:r>
        <w:fldChar w:fldCharType="end"/>
      </w:r>
    </w:p>
    <w:p w:rsidR="00EF54A0" w:rsidP="00EF54A0">
      <w:pPr>
        <w:pStyle w:val="Version"/>
        <w:sectPr w:rsidSect="00A62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2897" w:rsidP="00A62897">
      <w:pPr>
        <w:pStyle w:val="SuperHeading"/>
      </w:pPr>
      <w:r w:rsidRPr="00A62897">
        <w:t>Assessment Requirements for MSFID4007 Identify materials, construction techniques and methods used in building interiors</w:t>
      </w:r>
    </w:p>
    <w:p w:rsidR="00000000" w:rsidRPr="00A62897" w:rsidP="00A62897">
      <w:pPr>
        <w:pStyle w:val="Heading1"/>
      </w:pPr>
      <w:bookmarkStart w:id="1" w:name="O_627877"/>
      <w:bookmarkEnd w:id="1"/>
      <w:r w:rsidRPr="00A62897">
        <w:t>Modification History</w:t>
      </w:r>
    </w:p>
    <w:p w:rsidR="00000000" w:rsidRPr="00A62897" w:rsidP="00A62897">
      <w:pPr>
        <w:pStyle w:val="BodyText"/>
      </w:pPr>
      <w:r w:rsidRPr="00A62897">
        <w:t>Release 1 - New unit of competency</w:t>
      </w:r>
    </w:p>
    <w:p w:rsidR="00000000" w:rsidRPr="00A62897" w:rsidP="00A62897">
      <w:pPr>
        <w:pStyle w:val="AllowPageBreak"/>
      </w:pPr>
    </w:p>
    <w:p w:rsidR="00000000" w:rsidRPr="00A62897" w:rsidP="00A62897">
      <w:pPr>
        <w:pStyle w:val="Heading1"/>
      </w:pPr>
      <w:bookmarkStart w:id="2" w:name="O_627880"/>
      <w:bookmarkEnd w:id="2"/>
      <w:r w:rsidRPr="00A62897">
        <w:t>Performance Evidence</w:t>
      </w:r>
    </w:p>
    <w:p w:rsidR="00000000" w:rsidRPr="00A62897" w:rsidP="00A62897">
      <w:pPr>
        <w:pStyle w:val="ListBullet"/>
      </w:pPr>
      <w:r w:rsidRPr="00A62897">
        <w:t xml:space="preserve">Interpret work orders and locate and apply relevant information </w:t>
      </w:r>
    </w:p>
    <w:p w:rsidR="00000000" w:rsidRPr="00A62897" w:rsidP="00A62897">
      <w:pPr>
        <w:pStyle w:val="ListBullet"/>
      </w:pPr>
      <w:r w:rsidRPr="00A62897">
        <w:t xml:space="preserve">Apply safe handling requirements for equipment, products and materials, including use of personal protective equipment </w:t>
      </w:r>
    </w:p>
    <w:p w:rsidR="00000000" w:rsidRPr="00A62897" w:rsidP="00A62897">
      <w:pPr>
        <w:pStyle w:val="ListBullet"/>
      </w:pPr>
      <w:r w:rsidRPr="00A62897">
        <w:t xml:space="preserve">Identify materials used in the work process </w:t>
      </w:r>
    </w:p>
    <w:p w:rsidR="00000000" w:rsidRPr="00A62897" w:rsidP="00A62897">
      <w:pPr>
        <w:pStyle w:val="ListBullet"/>
      </w:pPr>
      <w:r w:rsidRPr="00A62897">
        <w:t xml:space="preserve">Follow work instructions, </w:t>
      </w:r>
      <w:r w:rsidRPr="00A62897">
        <w:t xml:space="preserve">operating procedures and inspection processes to: </w:t>
      </w:r>
    </w:p>
    <w:p w:rsidR="00000000" w:rsidRPr="00A62897" w:rsidP="00A62897">
      <w:pPr>
        <w:pStyle w:val="ListBullet2"/>
      </w:pPr>
      <w:r w:rsidRPr="00A62897">
        <w:t xml:space="preserve">minimise the risk of injury to self or others </w:t>
      </w:r>
    </w:p>
    <w:p w:rsidR="00000000" w:rsidRPr="00A62897" w:rsidP="00A62897">
      <w:pPr>
        <w:pStyle w:val="ListBullet2"/>
      </w:pPr>
      <w:r w:rsidRPr="00A62897">
        <w:t xml:space="preserve">prevent damage to goods, equipment and products </w:t>
      </w:r>
    </w:p>
    <w:p w:rsidR="00000000" w:rsidRPr="00A62897" w:rsidP="00A62897">
      <w:pPr>
        <w:pStyle w:val="ListBullet2"/>
      </w:pPr>
      <w:r w:rsidRPr="00A62897">
        <w:t xml:space="preserve">maintain required production output and product quality </w:t>
      </w:r>
    </w:p>
    <w:p w:rsidR="00000000" w:rsidRPr="00A62897" w:rsidP="00A62897">
      <w:pPr>
        <w:pStyle w:val="ListBullet"/>
      </w:pPr>
      <w:r w:rsidRPr="00A62897">
        <w:t>Access and interpret information about building ma</w:t>
      </w:r>
      <w:r w:rsidRPr="00A62897">
        <w:t>terials and processes and identify key elements and participants in the building process</w:t>
      </w:r>
    </w:p>
    <w:p w:rsidR="00000000" w:rsidRPr="00A62897" w:rsidP="00A62897">
      <w:pPr>
        <w:pStyle w:val="ListBullet"/>
      </w:pPr>
      <w:r w:rsidRPr="00A62897">
        <w:t xml:space="preserve">Use mathematical ideas and techniques to correctly complete measurements, calculate area/volume and estimate material requirements </w:t>
      </w:r>
    </w:p>
    <w:p w:rsidR="00000000" w:rsidRPr="00A62897" w:rsidP="00A62897">
      <w:pPr>
        <w:pStyle w:val="ListBullet"/>
      </w:pPr>
      <w:r w:rsidRPr="00A62897">
        <w:t xml:space="preserve">Communicate ideas and information to enable confirmation of work requirements and specifications, presentation of design/colour concepts, the reporting of work outcomes and problems </w:t>
      </w:r>
    </w:p>
    <w:p w:rsidR="00000000" w:rsidRPr="00A62897" w:rsidP="00A62897">
      <w:pPr>
        <w:pStyle w:val="ListBullet"/>
      </w:pPr>
      <w:r w:rsidRPr="00A62897">
        <w:t xml:space="preserve">Present findings in a creative and convincing format </w:t>
      </w:r>
    </w:p>
    <w:p w:rsidR="00000000" w:rsidRPr="00A62897" w:rsidP="00A62897">
      <w:pPr>
        <w:pStyle w:val="ListBullet"/>
      </w:pPr>
      <w:r w:rsidRPr="00A62897">
        <w:t>Avoid backtracking,</w:t>
      </w:r>
      <w:r w:rsidRPr="00A62897">
        <w:t xml:space="preserve"> work flow interruptions or wastage</w:t>
      </w:r>
    </w:p>
    <w:p w:rsidR="00000000" w:rsidRPr="00A62897" w:rsidP="00A62897">
      <w:pPr>
        <w:pStyle w:val="ListBullet"/>
      </w:pPr>
      <w:r w:rsidRPr="00A62897">
        <w:t>Work with others and in a team by recognising dependencies and using cooperative approaches to optimise work flow and productivity</w:t>
      </w:r>
    </w:p>
    <w:p w:rsidR="00000000" w:rsidRPr="00A62897" w:rsidP="00A62897">
      <w:pPr>
        <w:pStyle w:val="AllowPageBreak"/>
      </w:pPr>
    </w:p>
    <w:p w:rsidR="00000000" w:rsidRPr="00A62897" w:rsidP="00A62897">
      <w:pPr>
        <w:pStyle w:val="Heading1"/>
      </w:pPr>
      <w:bookmarkStart w:id="3" w:name="O_627879"/>
      <w:bookmarkEnd w:id="3"/>
      <w:r w:rsidRPr="00A62897">
        <w:t>Knowledge Evidence</w:t>
      </w:r>
    </w:p>
    <w:p w:rsidR="00000000" w:rsidRPr="00A62897" w:rsidP="00A62897">
      <w:pPr>
        <w:pStyle w:val="ListBullet"/>
      </w:pPr>
      <w:r w:rsidRPr="00A62897">
        <w:t>State or territory WHS legislation, regulations, sta</w:t>
      </w:r>
      <w:r w:rsidRPr="00A62897">
        <w:t>ndards and codes of practice relevant to the full range of processes for identifying building materials and methods</w:t>
      </w:r>
    </w:p>
    <w:p w:rsidR="00000000" w:rsidRPr="00A62897" w:rsidP="00A62897">
      <w:pPr>
        <w:pStyle w:val="ListBullet"/>
      </w:pPr>
      <w:r w:rsidRPr="00A62897">
        <w:t>Organisational and site standards, requirements, policies and procedures for identifying building materials and methods</w:t>
      </w:r>
    </w:p>
    <w:p w:rsidR="00000000" w:rsidRPr="00A62897" w:rsidP="00A62897">
      <w:pPr>
        <w:pStyle w:val="ListBullet"/>
      </w:pPr>
      <w:r w:rsidRPr="00A62897">
        <w:t xml:space="preserve">Relevant Australian </w:t>
      </w:r>
      <w:r w:rsidRPr="00A62897">
        <w:t>Standards and the Building Code of Australia (BCA)</w:t>
      </w:r>
    </w:p>
    <w:p w:rsidR="00000000" w:rsidRPr="00A62897" w:rsidP="00A62897">
      <w:pPr>
        <w:pStyle w:val="ListBullet"/>
      </w:pPr>
      <w:r w:rsidRPr="00A62897">
        <w:t>Awareness of different forms of construction</w:t>
      </w:r>
    </w:p>
    <w:p w:rsidR="00000000" w:rsidRPr="00A62897" w:rsidP="00A62897">
      <w:pPr>
        <w:pStyle w:val="ListBullet"/>
      </w:pPr>
      <w:r w:rsidRPr="00A62897">
        <w:t>Local environmental plans and relevant building authorities</w:t>
      </w:r>
    </w:p>
    <w:p w:rsidR="00000000" w:rsidRPr="00A62897" w:rsidP="00A62897">
      <w:pPr>
        <w:pStyle w:val="ListBullet"/>
      </w:pPr>
      <w:r w:rsidRPr="00A62897">
        <w:t>Basic building and architectural terminology</w:t>
      </w:r>
    </w:p>
    <w:p w:rsidR="00000000" w:rsidRPr="00A62897" w:rsidP="00A62897">
      <w:pPr>
        <w:pStyle w:val="ListBullet"/>
      </w:pPr>
      <w:r w:rsidRPr="00A62897">
        <w:t>Common structural and non-structural components of a re</w:t>
      </w:r>
      <w:r w:rsidRPr="00A62897">
        <w:t>sidential building</w:t>
      </w:r>
    </w:p>
    <w:p w:rsidR="00000000" w:rsidRPr="00A62897" w:rsidP="00A62897">
      <w:pPr>
        <w:pStyle w:val="ListBullet"/>
      </w:pPr>
      <w:r w:rsidRPr="00A62897">
        <w:t>Geographical implications of a building site/location</w:t>
      </w:r>
    </w:p>
    <w:p w:rsidR="00000000" w:rsidRPr="00A62897" w:rsidP="00A62897">
      <w:pPr>
        <w:pStyle w:val="ListBullet"/>
      </w:pPr>
      <w:r w:rsidRPr="00A62897">
        <w:t>Materials and methods involved in the refurbishment of a wet area</w:t>
      </w:r>
    </w:p>
    <w:p w:rsidR="00000000" w:rsidRPr="00A62897" w:rsidP="00A62897">
      <w:pPr>
        <w:pStyle w:val="ListBullet"/>
      </w:pPr>
      <w:r w:rsidRPr="00A62897">
        <w:t>Materials and methods involved in the construction and installation of contemporary built-in cabinetry</w:t>
      </w:r>
    </w:p>
    <w:p w:rsidR="00000000" w:rsidRPr="00A62897" w:rsidP="00A62897">
      <w:pPr>
        <w:pStyle w:val="ListBullet"/>
      </w:pPr>
      <w:r w:rsidRPr="00A62897">
        <w:t>Equipment invo</w:t>
      </w:r>
      <w:r w:rsidRPr="00A62897">
        <w:t>lved in the installation of home theatre systems</w:t>
      </w:r>
    </w:p>
    <w:p w:rsidR="00000000" w:rsidRPr="00A62897" w:rsidP="00A62897">
      <w:pPr>
        <w:pStyle w:val="ListBullet"/>
      </w:pPr>
      <w:r w:rsidRPr="00A62897">
        <w:t>Climate control devices, including fans, heaters and air conditioners</w:t>
      </w:r>
    </w:p>
    <w:p w:rsidR="00000000" w:rsidRPr="00A62897" w:rsidP="00A62897">
      <w:pPr>
        <w:pStyle w:val="ListBullet"/>
      </w:pPr>
      <w:r w:rsidRPr="00A62897">
        <w:t>Relevant research techniques</w:t>
      </w:r>
    </w:p>
    <w:p w:rsidR="00000000" w:rsidRPr="00A62897" w:rsidP="00A62897">
      <w:pPr>
        <w:pStyle w:val="ListBullet"/>
      </w:pPr>
      <w:r w:rsidRPr="00A62897">
        <w:t>Residential building demolition methods</w:t>
      </w:r>
    </w:p>
    <w:p w:rsidR="00000000" w:rsidRPr="00A62897" w:rsidP="00A62897">
      <w:pPr>
        <w:pStyle w:val="ListBullet"/>
      </w:pPr>
      <w:r w:rsidRPr="00A62897">
        <w:t>Construction trades, techniques and materials associated with each stage</w:t>
      </w:r>
    </w:p>
    <w:p w:rsidR="00000000" w:rsidRPr="00A62897" w:rsidP="00A62897">
      <w:pPr>
        <w:pStyle w:val="ListBullet"/>
      </w:pPr>
      <w:r w:rsidRPr="00A62897">
        <w:t>Residential building process</w:t>
      </w:r>
    </w:p>
    <w:p w:rsidR="00000000" w:rsidRPr="00A62897" w:rsidP="00A62897">
      <w:pPr>
        <w:pStyle w:val="AllowPageBreak"/>
      </w:pPr>
    </w:p>
    <w:p w:rsidR="00000000" w:rsidRPr="00A62897" w:rsidP="00A62897">
      <w:pPr>
        <w:pStyle w:val="Heading1"/>
      </w:pPr>
      <w:bookmarkStart w:id="4" w:name="O_627878"/>
      <w:bookmarkEnd w:id="4"/>
      <w:r w:rsidRPr="00A62897">
        <w:t>Assessment Conditions</w:t>
      </w:r>
    </w:p>
    <w:p w:rsidR="00000000" w:rsidRPr="00A62897" w:rsidP="00A62897">
      <w:pPr>
        <w:pStyle w:val="ListBullet"/>
      </w:pPr>
      <w:r w:rsidRPr="00A62897">
        <w:t>Assessors must:</w:t>
      </w:r>
    </w:p>
    <w:p w:rsidR="00000000" w:rsidRPr="00A62897" w:rsidP="00A62897">
      <w:pPr>
        <w:pStyle w:val="ListBullet2"/>
      </w:pPr>
      <w:r w:rsidRPr="00A62897">
        <w:t xml:space="preserve">hold training and assessment competencies as determined by the National Skills Standards Council </w:t>
      </w:r>
      <w:r w:rsidRPr="00A62897">
        <w:t>(NSSC) or its successors</w:t>
      </w:r>
    </w:p>
    <w:p w:rsidR="00000000" w:rsidRPr="00A62897" w:rsidP="00A62897">
      <w:pPr>
        <w:pStyle w:val="ListBullet2"/>
      </w:pPr>
      <w:r w:rsidRPr="00A6289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62897" w:rsidP="00A62897">
      <w:pPr>
        <w:pStyle w:val="ListBullet2"/>
      </w:pPr>
      <w:r w:rsidRPr="00A62897">
        <w:t>be familiar with the current skills a</w:t>
      </w:r>
      <w:r w:rsidRPr="00A62897">
        <w:t>nd knowledge used and have relevant, current experience in the furnishing industry.</w:t>
      </w:r>
    </w:p>
    <w:p w:rsidR="00000000" w:rsidRPr="00A62897" w:rsidP="00A62897">
      <w:pPr>
        <w:pStyle w:val="ListBullet"/>
      </w:pPr>
      <w:r w:rsidRPr="00A62897">
        <w:t xml:space="preserve">Assessment methods must confirm consistency of performance over time rather than a single assessment event and in a range of workplace relevant contexts. </w:t>
      </w:r>
    </w:p>
    <w:p w:rsidR="00000000" w:rsidRPr="00A62897" w:rsidP="00A62897">
      <w:pPr>
        <w:pStyle w:val="ListBullet"/>
      </w:pPr>
      <w:r w:rsidRPr="00A62897">
        <w:t xml:space="preserve">Assessment must </w:t>
      </w:r>
      <w:r w:rsidRPr="00A62897">
        <w:t xml:space="preserve">be by observation of relevant tasks with questioning on underpinning knowledge and, where applicable, multimedia evidence, supervisor’s reports, projects and work samples. </w:t>
      </w:r>
    </w:p>
    <w:p w:rsidR="00000000" w:rsidRPr="00A62897" w:rsidP="00A62897">
      <w:pPr>
        <w:pStyle w:val="ListBullet"/>
      </w:pPr>
      <w:r w:rsidRPr="00A62897">
        <w:t xml:space="preserve">Assessment is to be conducted on single units of competency or in conjunction with </w:t>
      </w:r>
      <w:r w:rsidRPr="00A62897">
        <w:t>other related units of competency. Foundation skills are integral to competent performance in the unit and should not be assessed separately.</w:t>
      </w:r>
    </w:p>
    <w:p w:rsidR="00000000" w:rsidRPr="00A62897" w:rsidP="00A62897">
      <w:pPr>
        <w:pStyle w:val="ListBullet"/>
      </w:pPr>
      <w:r w:rsidRPr="00A62897">
        <w:t>Assessment must occur on the job or in a workplace simulated facility with relevant process, equipment, materials,</w:t>
      </w:r>
      <w:r w:rsidRPr="00A62897">
        <w:t xml:space="preserve"> work instructions and deadlines.</w:t>
      </w:r>
    </w:p>
    <w:p w:rsidR="00000000" w:rsidRPr="00A62897" w:rsidP="00A62897">
      <w:pPr>
        <w:pStyle w:val="ListBullet"/>
      </w:pPr>
      <w:r w:rsidRPr="00A62897">
        <w:t>Access is required to materials, equipment and specifications relevant to identifying materials, techniques and methods used in building interiors.</w:t>
      </w:r>
    </w:p>
    <w:p w:rsidR="00000000" w:rsidRPr="00A62897" w:rsidP="00A62897">
      <w:pPr>
        <w:pStyle w:val="AllowPageBreak"/>
      </w:pPr>
    </w:p>
    <w:p w:rsidR="00000000" w:rsidRPr="00A62897" w:rsidP="00A62897">
      <w:pPr>
        <w:pStyle w:val="Heading1"/>
      </w:pPr>
      <w:bookmarkStart w:id="5" w:name="O_627876"/>
      <w:bookmarkEnd w:id="5"/>
      <w:r w:rsidRPr="00A62897">
        <w:t>Links</w:t>
      </w:r>
    </w:p>
    <w:p w:rsidR="00000000" w:rsidRPr="00A62897" w:rsidP="00A62897">
      <w:pPr>
        <w:pStyle w:val="BodyText"/>
      </w:pPr>
      <w:r w:rsidRPr="00A62897">
        <w:t>Companion Volume implementation guides are found in VETNet - https://vetnet.education.gov.au/Pages/TrainingDocs.aspx?q=0601ab95-583a-4e93-b2d4-cfb27b03ed73</w:t>
      </w:r>
    </w:p>
    <w:p w:rsidR="00000000" w:rsidRPr="00A62897" w:rsidP="00A62897"/>
    <w:sectPr w:rsidSect="00A628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97" w:rsidRPr="00EF54A0" w:rsidP="00EF54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A0" w:rsidP="00A62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54A0" w:rsidP="00A62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F54A0" w:rsidP="00A62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2897" w:rsidRPr="00EF54A0" w:rsidP="00EF54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4A0" w:rsidRPr="002D2AF8" w:rsidP="00A62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MSFID4007 Identify materials, construction techniques and methods used in building interiors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EF54A0" w:rsidP="00A62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0420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12D8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904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2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2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2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2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2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2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2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2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2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2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2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2897"/>
  </w:style>
  <w:style w:type="character" w:customStyle="1" w:styleId="Heading1Char">
    <w:name w:val="Heading 1 Char"/>
    <w:basedOn w:val="DefaultParagraphFont"/>
    <w:link w:val="Heading1"/>
    <w:rsid w:val="00A62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28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2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289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289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2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2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2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2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2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2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2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2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2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2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2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2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2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2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2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2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2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2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2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2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2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2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2897"/>
    <w:rPr>
      <w:b/>
      <w:spacing w:val="0"/>
    </w:rPr>
  </w:style>
  <w:style w:type="paragraph" w:customStyle="1" w:styleId="SuperTitle">
    <w:name w:val="SuperTitle"/>
    <w:basedOn w:val="Title"/>
    <w:rsid w:val="00A62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2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2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2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2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2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2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2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2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2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2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2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2897"/>
    <w:rPr>
      <w:i/>
    </w:rPr>
  </w:style>
  <w:style w:type="paragraph" w:styleId="Caption">
    <w:name w:val="caption"/>
    <w:basedOn w:val="BodyText"/>
    <w:next w:val="Normal"/>
    <w:qFormat/>
    <w:rsid w:val="00A62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2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2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2897"/>
  </w:style>
  <w:style w:type="paragraph" w:styleId="TableofFigures">
    <w:name w:val="table of figures"/>
    <w:basedOn w:val="Normal"/>
    <w:next w:val="Normal"/>
    <w:semiHidden/>
    <w:rsid w:val="00A62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2897"/>
    <w:pPr>
      <w:numPr>
        <w:numId w:val="11"/>
      </w:numPr>
    </w:pPr>
  </w:style>
  <w:style w:type="character" w:customStyle="1" w:styleId="WingdingSymbols">
    <w:name w:val="Wingding Symbols"/>
    <w:rsid w:val="00A62897"/>
    <w:rPr>
      <w:rFonts w:ascii="Wingdings" w:hAnsi="Wingdings"/>
    </w:rPr>
  </w:style>
  <w:style w:type="paragraph" w:customStyle="1" w:styleId="TableHeading">
    <w:name w:val="Table Heading"/>
    <w:basedOn w:val="HeadingBase"/>
    <w:rsid w:val="00A62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2897"/>
    <w:rPr>
      <w:color w:val="0033CC"/>
      <w:u w:val="none"/>
    </w:rPr>
  </w:style>
  <w:style w:type="paragraph" w:customStyle="1" w:styleId="BodyTextRight">
    <w:name w:val="Body Text Right"/>
    <w:basedOn w:val="BodyText"/>
    <w:rsid w:val="00A62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2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28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2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2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2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2897"/>
    <w:rPr>
      <w:sz w:val="32"/>
    </w:rPr>
  </w:style>
  <w:style w:type="paragraph" w:customStyle="1" w:styleId="HeadingProcedure">
    <w:name w:val="Heading Procedure"/>
    <w:basedOn w:val="HeadingBase"/>
    <w:next w:val="Normal"/>
    <w:rsid w:val="00A62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2897"/>
    <w:pPr>
      <w:spacing w:before="60" w:after="60"/>
    </w:pPr>
  </w:style>
  <w:style w:type="paragraph" w:styleId="ListContinue">
    <w:name w:val="List Continue"/>
    <w:basedOn w:val="List"/>
    <w:rsid w:val="00A62897"/>
    <w:pPr>
      <w:ind w:firstLine="0"/>
    </w:pPr>
  </w:style>
  <w:style w:type="paragraph" w:customStyle="1" w:styleId="ListNote">
    <w:name w:val="List Note"/>
    <w:basedOn w:val="List"/>
    <w:rsid w:val="00A62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2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2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2897"/>
    <w:rPr>
      <w:rFonts w:ascii="Courier New" w:hAnsi="Courier New"/>
    </w:rPr>
  </w:style>
  <w:style w:type="paragraph" w:customStyle="1" w:styleId="NoteBullet">
    <w:name w:val="Note Bullet"/>
    <w:basedOn w:val="Note"/>
    <w:rsid w:val="00A62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2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2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2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289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62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2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2897"/>
    <w:rPr>
      <w:b/>
      <w:smallCaps/>
    </w:rPr>
  </w:style>
  <w:style w:type="paragraph" w:customStyle="1" w:styleId="TableListNumber">
    <w:name w:val="Table List Number"/>
    <w:basedOn w:val="ListNumber"/>
    <w:rsid w:val="00A62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2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2897"/>
    <w:pPr>
      <w:numPr>
        <w:numId w:val="9"/>
      </w:numPr>
    </w:pPr>
  </w:style>
  <w:style w:type="paragraph" w:customStyle="1" w:styleId="ListAlpha2">
    <w:name w:val="List Alpha 2"/>
    <w:basedOn w:val="List2"/>
    <w:rsid w:val="00A62897"/>
    <w:pPr>
      <w:numPr>
        <w:numId w:val="8"/>
      </w:numPr>
    </w:pPr>
  </w:style>
  <w:style w:type="paragraph" w:styleId="List2">
    <w:name w:val="List 2"/>
    <w:basedOn w:val="BodyText"/>
    <w:rsid w:val="00A62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2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2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2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289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28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2897"/>
    <w:pPr>
      <w:numPr>
        <w:numId w:val="4"/>
      </w:numPr>
    </w:pPr>
  </w:style>
  <w:style w:type="paragraph" w:styleId="ListContinue2">
    <w:name w:val="List Continue 2"/>
    <w:basedOn w:val="List2"/>
    <w:rsid w:val="00A62897"/>
    <w:pPr>
      <w:ind w:firstLine="0"/>
    </w:pPr>
  </w:style>
  <w:style w:type="paragraph" w:styleId="ListContinue3">
    <w:name w:val="List Continue 3"/>
    <w:basedOn w:val="List3"/>
    <w:rsid w:val="00A62897"/>
    <w:pPr>
      <w:ind w:left="1021" w:firstLine="0"/>
    </w:pPr>
  </w:style>
  <w:style w:type="paragraph" w:styleId="ListContinue4">
    <w:name w:val="List Continue 4"/>
    <w:basedOn w:val="List4"/>
    <w:rsid w:val="00A62897"/>
    <w:pPr>
      <w:ind w:firstLine="0"/>
    </w:pPr>
  </w:style>
  <w:style w:type="paragraph" w:styleId="ListContinue5">
    <w:name w:val="List Continue 5"/>
    <w:basedOn w:val="List5"/>
    <w:rsid w:val="00A62897"/>
    <w:pPr>
      <w:ind w:firstLine="0"/>
    </w:pPr>
  </w:style>
  <w:style w:type="paragraph" w:styleId="ListNumber3">
    <w:name w:val="List Number 3"/>
    <w:basedOn w:val="List3"/>
    <w:rsid w:val="00A62897"/>
    <w:pPr>
      <w:numPr>
        <w:numId w:val="5"/>
      </w:numPr>
    </w:pPr>
  </w:style>
  <w:style w:type="paragraph" w:styleId="ListNumber4">
    <w:name w:val="List Number 4"/>
    <w:basedOn w:val="List4"/>
    <w:rsid w:val="00A62897"/>
    <w:pPr>
      <w:numPr>
        <w:numId w:val="6"/>
      </w:numPr>
    </w:pPr>
  </w:style>
  <w:style w:type="paragraph" w:styleId="ListNumber5">
    <w:name w:val="List Number 5"/>
    <w:basedOn w:val="List5"/>
    <w:rsid w:val="00A62897"/>
    <w:pPr>
      <w:numPr>
        <w:numId w:val="7"/>
      </w:numPr>
    </w:pPr>
  </w:style>
  <w:style w:type="paragraph" w:styleId="BlockText">
    <w:name w:val="Block Text"/>
    <w:basedOn w:val="Normal"/>
    <w:rsid w:val="00A62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2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2897"/>
    <w:rPr>
      <w:sz w:val="16"/>
      <w:vertAlign w:val="superscript"/>
    </w:rPr>
  </w:style>
  <w:style w:type="character" w:customStyle="1" w:styleId="Symbols">
    <w:name w:val="Symbols"/>
    <w:basedOn w:val="DefaultParagraphFont"/>
    <w:rsid w:val="00A62897"/>
    <w:rPr>
      <w:rFonts w:ascii="Symbol" w:hAnsi="Symbol"/>
    </w:rPr>
  </w:style>
  <w:style w:type="character" w:customStyle="1" w:styleId="MenuOptions">
    <w:name w:val="Menu Options"/>
    <w:basedOn w:val="DefaultParagraphFont"/>
    <w:rsid w:val="00A62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2897"/>
    <w:rPr>
      <w:b/>
    </w:rPr>
  </w:style>
  <w:style w:type="character" w:customStyle="1" w:styleId="Underlined">
    <w:name w:val="Underlined"/>
    <w:basedOn w:val="DefaultParagraphFont"/>
    <w:rsid w:val="00A62897"/>
    <w:rPr>
      <w:u w:val="single"/>
    </w:rPr>
  </w:style>
  <w:style w:type="paragraph" w:customStyle="1" w:styleId="TableBodyTextRight">
    <w:name w:val="Table Body Text Right"/>
    <w:basedOn w:val="TableBodyText"/>
    <w:rsid w:val="00A62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2897"/>
    <w:rPr>
      <w:sz w:val="18"/>
    </w:rPr>
  </w:style>
  <w:style w:type="paragraph" w:customStyle="1" w:styleId="BodySmallRight">
    <w:name w:val="Body Small Right"/>
    <w:basedOn w:val="BodyTextRight"/>
    <w:rsid w:val="00A62897"/>
    <w:rPr>
      <w:sz w:val="18"/>
      <w:szCs w:val="18"/>
    </w:rPr>
  </w:style>
  <w:style w:type="paragraph" w:customStyle="1" w:styleId="MarginEdition">
    <w:name w:val="Margin Edition"/>
    <w:basedOn w:val="MarginNote"/>
    <w:rsid w:val="00A62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2897"/>
    <w:rPr>
      <w:sz w:val="2"/>
      <w:szCs w:val="2"/>
    </w:rPr>
  </w:style>
  <w:style w:type="character" w:customStyle="1" w:styleId="Small">
    <w:name w:val="Small"/>
    <w:basedOn w:val="DefaultParagraphFont"/>
    <w:rsid w:val="00A62897"/>
    <w:rPr>
      <w:sz w:val="16"/>
    </w:rPr>
  </w:style>
  <w:style w:type="paragraph" w:customStyle="1" w:styleId="WideTable">
    <w:name w:val="Wide Table"/>
    <w:basedOn w:val="Normal"/>
    <w:rsid w:val="00A62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2897"/>
  </w:style>
  <w:style w:type="paragraph" w:styleId="Quote">
    <w:name w:val="Quote"/>
    <w:basedOn w:val="Heading1"/>
    <w:link w:val="QuoteChar"/>
    <w:qFormat/>
    <w:rsid w:val="00A62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2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2897"/>
    <w:pPr>
      <w:pageBreakBefore/>
    </w:pPr>
  </w:style>
  <w:style w:type="paragraph" w:customStyle="1" w:styleId="Border">
    <w:name w:val="Border"/>
    <w:basedOn w:val="Normal"/>
    <w:qFormat/>
    <w:rsid w:val="00A62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2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2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2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2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2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2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2897"/>
    <w:rPr>
      <w:u w:val="single"/>
    </w:rPr>
  </w:style>
  <w:style w:type="character" w:customStyle="1" w:styleId="BoldandItalics">
    <w:name w:val="Bold and Italics"/>
    <w:qFormat/>
    <w:rsid w:val="00A62897"/>
    <w:rPr>
      <w:b/>
      <w:i/>
      <w:u w:val="none"/>
    </w:rPr>
  </w:style>
  <w:style w:type="paragraph" w:styleId="BalloonText">
    <w:name w:val="Balloon Text"/>
    <w:basedOn w:val="Normal"/>
    <w:link w:val="BalloonTextChar"/>
    <w:rsid w:val="00A62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2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28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2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2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28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3601</Characters>
  <Application>Microsoft Office Word</Application>
  <DocSecurity>0</DocSecurity>
  <Lines>78</Lines>
  <Paragraphs>48</Paragraphs>
  <ScaleCrop>false</ScaleCrop>
  <Company>Author-it Software Corporation Ltd.</Company>
  <LinksUpToDate>false</LinksUpToDate>
  <CharactersWithSpaces>4142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MSFID4007 Identify materials, construction techniques and methods used in building interiors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2016-12-09T03:40:00Z</dcterms:created>
  <dcterms:modified xsi:type="dcterms:W3CDTF">2016-12-09T03:40:00Z</dcterms:modified>
</cp:coreProperties>
</file>