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2BF" w:rsidP="007A3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MSFGN4001 Research and meet ethical and compliance requirements</w:t>
      </w:r>
      <w:r>
        <w:fldChar w:fldCharType="end"/>
      </w:r>
    </w:p>
    <w:p w:rsidR="007A32BF" w:rsidP="007A32BF">
      <w:pPr>
        <w:pStyle w:val="Version"/>
        <w:sectPr w:rsidSect="00C03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E4E" w:rsidP="00C03E4E">
      <w:pPr>
        <w:pStyle w:val="SuperHeading"/>
      </w:pPr>
      <w:r w:rsidRPr="00C03E4E">
        <w:t>MSFGN4001 Research and meet ethical and compliance requirements</w:t>
      </w:r>
    </w:p>
    <w:p w:rsidR="00000000" w:rsidRPr="00C03E4E" w:rsidP="00C03E4E">
      <w:pPr>
        <w:pStyle w:val="Heading1"/>
      </w:pPr>
      <w:bookmarkStart w:id="1" w:name="O_1014156"/>
      <w:bookmarkEnd w:id="1"/>
      <w:r w:rsidRPr="00C03E4E">
        <w:t>Modification History</w:t>
      </w:r>
    </w:p>
    <w:p w:rsidR="00000000" w:rsidRPr="00C03E4E" w:rsidP="007A32BF">
      <w:pPr>
        <w:pStyle w:val="BodyText"/>
      </w:pPr>
      <w:r w:rsidRPr="00C03E4E">
        <w:t xml:space="preserve">Release 1. Supersedes and is not equivalent to MSFFDT2015 Investigate legal requirements for design, and, MSFID4011 Determine work health and safety </w:t>
      </w:r>
      <w:r w:rsidRPr="00C03E4E">
        <w:t>(WHS) implications of interior effects.</w:t>
      </w:r>
    </w:p>
    <w:p w:rsidR="00000000" w:rsidRPr="00C03E4E" w:rsidP="00C03E4E">
      <w:pPr>
        <w:pStyle w:val="Heading1"/>
      </w:pPr>
      <w:bookmarkStart w:id="2" w:name="O_1014162"/>
      <w:bookmarkEnd w:id="2"/>
      <w:r w:rsidRPr="00C03E4E">
        <w:t>Application</w:t>
      </w:r>
    </w:p>
    <w:p w:rsidR="00000000" w:rsidRPr="00C03E4E" w:rsidP="007A32BF">
      <w:pPr>
        <w:pStyle w:val="BodyText"/>
      </w:pPr>
      <w:r w:rsidRPr="00C03E4E">
        <w:t>This unit describes the skills and knowledge required to research and use information that supports ethical and compliant work practice or product specification in the relevant industry</w:t>
      </w:r>
      <w:r w:rsidRPr="00C03E4E">
        <w:t>. It includes the requirement to be able to maintain currency of knowledge.</w:t>
      </w:r>
    </w:p>
    <w:p w:rsidR="00000000" w:rsidRPr="00C03E4E" w:rsidP="007A32BF">
      <w:pPr>
        <w:pStyle w:val="BodyText"/>
      </w:pPr>
      <w:r w:rsidRPr="00C03E4E">
        <w:t>This unit applies to any individual whose work involves taking responsibility for determining and following the compliance regimes and ethical frameworks that apply to an area of w</w:t>
      </w:r>
      <w:r w:rsidRPr="00C03E4E">
        <w:t>ork. This may include work in design, manufacture and service and/or product provision.</w:t>
      </w:r>
    </w:p>
    <w:p w:rsidR="007A32BF" w:rsidP="007A32BF">
      <w:pPr>
        <w:pStyle w:val="BodyText"/>
      </w:pPr>
      <w:r w:rsidRPr="00C03E4E">
        <w:t>No licensing or certification requirements exist at the time of publication. Relevant legislation, industry standards and codes of practice within Australia must be app</w:t>
      </w:r>
      <w:r w:rsidRPr="00C03E4E">
        <w:t xml:space="preserve">lied. </w:t>
      </w:r>
    </w:p>
    <w:p w:rsidR="00000000" w:rsidRPr="00C03E4E" w:rsidP="00C03E4E">
      <w:pPr>
        <w:pStyle w:val="Heading1"/>
      </w:pPr>
      <w:bookmarkStart w:id="3" w:name="O_1014161"/>
      <w:bookmarkEnd w:id="3"/>
      <w:r w:rsidRPr="00C03E4E">
        <w:t>Pre-requisite Unit</w:t>
      </w:r>
    </w:p>
    <w:p w:rsidR="00000000" w:rsidRPr="00C03E4E" w:rsidP="007A32BF">
      <w:pPr>
        <w:pStyle w:val="BodyText"/>
      </w:pPr>
      <w:r w:rsidRPr="00C03E4E">
        <w:t>N/A</w:t>
      </w:r>
    </w:p>
    <w:p w:rsidR="00000000" w:rsidRPr="00C03E4E" w:rsidP="00C03E4E">
      <w:pPr>
        <w:pStyle w:val="Heading1"/>
      </w:pPr>
      <w:bookmarkStart w:id="4" w:name="O_1014160"/>
      <w:bookmarkEnd w:id="4"/>
      <w:r w:rsidRPr="00C03E4E">
        <w:t>Unit Sector</w:t>
      </w:r>
    </w:p>
    <w:p w:rsidR="00000000" w:rsidRPr="00C03E4E" w:rsidP="007A32BF">
      <w:pPr>
        <w:pStyle w:val="BodyText"/>
      </w:pPr>
      <w:r w:rsidRPr="00C03E4E">
        <w:t>General</w:t>
      </w:r>
    </w:p>
    <w:p w:rsidR="00000000" w:rsidRPr="00C03E4E" w:rsidP="00C03E4E">
      <w:pPr>
        <w:pStyle w:val="Heading1"/>
      </w:pPr>
      <w:bookmarkStart w:id="5" w:name="O_1014159"/>
      <w:bookmarkEnd w:id="5"/>
      <w:r w:rsidRPr="00C03E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A3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4E" w:rsidP="00C03E4E">
            <w:pPr>
              <w:pStyle w:val="BodyText"/>
            </w:pPr>
            <w:r w:rsidRPr="00C03E4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4E">
            <w:pPr>
              <w:pStyle w:val="BodyText"/>
              <w:rPr>
                <w:lang w:val="en-NZ"/>
              </w:rPr>
            </w:pPr>
            <w:r w:rsidRPr="00C03E4E">
              <w:rPr>
                <w:rStyle w:val="SpecialBold"/>
              </w:rPr>
              <w:t>Performance Criteria</w:t>
            </w:r>
          </w:p>
        </w:tc>
      </w:tr>
      <w:tr w:rsidTr="007A3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4E" w:rsidP="00C03E4E">
            <w:pPr>
              <w:pStyle w:val="BodyText"/>
            </w:pPr>
            <w:r w:rsidRPr="00C03E4E">
              <w:rPr>
                <w:rStyle w:val="Emphasis"/>
              </w:rPr>
              <w:t xml:space="preserve">Elements describe the </w:t>
            </w:r>
            <w:r w:rsidRPr="00C03E4E">
              <w:t xml:space="preserve">essential </w:t>
            </w:r>
            <w:r w:rsidRPr="00C03E4E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4E">
            <w:pPr>
              <w:pStyle w:val="BodyText"/>
              <w:rPr>
                <w:lang w:val="en-NZ"/>
              </w:rPr>
            </w:pPr>
            <w:r w:rsidRPr="00C03E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4E">
            <w:pPr>
              <w:pStyle w:val="BodyText"/>
              <w:rPr>
                <w:lang w:val="en-NZ"/>
              </w:rPr>
            </w:pPr>
            <w:r w:rsidRPr="00C03E4E">
              <w:t xml:space="preserve">1. Research information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4E" w:rsidP="00C03E4E">
            <w:pPr>
              <w:pStyle w:val="BodyText"/>
            </w:pPr>
            <w:r w:rsidRPr="00C03E4E">
              <w:t xml:space="preserve">1.1 Identify credible sources of compliance and ethical practice information </w:t>
            </w:r>
          </w:p>
          <w:p w:rsidR="00000000" w:rsidRPr="00C03E4E" w:rsidP="00C03E4E">
            <w:pPr>
              <w:pStyle w:val="BodyText"/>
            </w:pPr>
            <w:r w:rsidRPr="00C03E4E">
              <w:t>1.2 Evaluate areas of work and determine scope of requir</w:t>
            </w:r>
            <w:r w:rsidRPr="00C03E4E">
              <w:t>ements</w:t>
            </w:r>
          </w:p>
          <w:p w:rsidR="00000000" w:rsidRPr="00C03E4E" w:rsidP="00C03E4E">
            <w:pPr>
              <w:pStyle w:val="BodyText"/>
            </w:pPr>
            <w:r w:rsidRPr="00C03E4E">
              <w:t>1.3 Access and interpret information relevant to the specific area of work</w:t>
            </w:r>
          </w:p>
          <w:p w:rsidR="00000000" w:rsidRPr="00C03E4E" w:rsidP="00C03E4E">
            <w:pPr>
              <w:pStyle w:val="BodyText"/>
            </w:pPr>
            <w:r w:rsidRPr="00C03E4E">
              <w:t xml:space="preserve">1.4 Identify risks, penalties and consequences of non-compliance and </w:t>
            </w:r>
            <w:r w:rsidRPr="00C03E4E">
              <w:t>unethical approaches</w:t>
            </w:r>
          </w:p>
          <w:p w:rsidR="00000000" w:rsidP="00C03E4E">
            <w:pPr>
              <w:pStyle w:val="BodyText"/>
              <w:rPr>
                <w:lang w:val="en-NZ"/>
              </w:rPr>
            </w:pPr>
            <w:r w:rsidRPr="00C03E4E">
              <w:t>1.5 Organise and store gathered information in a format that allows for ongoing use</w:t>
            </w:r>
          </w:p>
        </w:tc>
      </w:tr>
      <w:tr w:rsidTr="007A3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4E">
            <w:pPr>
              <w:pStyle w:val="BodyText"/>
              <w:rPr>
                <w:lang w:val="en-NZ"/>
              </w:rPr>
            </w:pPr>
            <w:r w:rsidRPr="00C03E4E">
              <w:t>2. Use information in work practice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4E" w:rsidP="00C03E4E">
            <w:pPr>
              <w:pStyle w:val="BodyText"/>
            </w:pPr>
            <w:r w:rsidRPr="00C03E4E">
              <w:t xml:space="preserve">2.1 Recognise work situations where ethical and compliance requirements must be considered </w:t>
            </w:r>
          </w:p>
          <w:p w:rsidR="00000000" w:rsidRPr="00C03E4E" w:rsidP="00C03E4E">
            <w:pPr>
              <w:pStyle w:val="BodyText"/>
            </w:pPr>
            <w:r w:rsidRPr="00C03E4E">
              <w:t xml:space="preserve">2.2 Apply and adapt specific and relevant information to the work situation and maintain accurate work records </w:t>
            </w:r>
          </w:p>
          <w:p w:rsidR="00000000" w:rsidRPr="00C03E4E" w:rsidP="00C03E4E">
            <w:pPr>
              <w:pStyle w:val="BodyText"/>
            </w:pPr>
            <w:r w:rsidRPr="00C03E4E">
              <w:t>2.3 Communicate</w:t>
            </w:r>
            <w:r w:rsidRPr="00C03E4E">
              <w:t xml:space="preserve"> and promote ethical and compliance considerations to clients and colleagues based on the work situation </w:t>
            </w:r>
          </w:p>
          <w:p w:rsidR="00000000" w:rsidRPr="00C03E4E" w:rsidP="00C03E4E">
            <w:pPr>
              <w:pStyle w:val="BodyText"/>
            </w:pPr>
            <w:r w:rsidRPr="00C03E4E">
              <w:t>2.4 Recognise actual or potential non-compliance or unethical practice and use effective problem-solving to develop response</w:t>
            </w:r>
          </w:p>
          <w:p w:rsidR="00000000" w:rsidP="00C03E4E">
            <w:pPr>
              <w:pStyle w:val="BodyText"/>
              <w:rPr>
                <w:lang w:val="en-NZ"/>
              </w:rPr>
            </w:pPr>
            <w:r w:rsidRPr="00C03E4E">
              <w:t xml:space="preserve">2.5 Recognise situations </w:t>
            </w:r>
            <w:r w:rsidRPr="00C03E4E">
              <w:t>requiring specialist expert advice and assess and obtain credible sources of assistance</w:t>
            </w:r>
          </w:p>
        </w:tc>
      </w:tr>
      <w:tr w:rsidTr="007A3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E4E">
            <w:pPr>
              <w:pStyle w:val="BodyText"/>
              <w:rPr>
                <w:lang w:val="en-NZ"/>
              </w:rPr>
            </w:pPr>
            <w:r w:rsidRPr="00C03E4E">
              <w:t xml:space="preserve">3. Maintain currency of knowledge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E4E" w:rsidP="00C03E4E">
            <w:pPr>
              <w:pStyle w:val="BodyText"/>
            </w:pPr>
            <w:r w:rsidRPr="00C03E4E">
              <w:t>3.1 Identify and use opportunities to maintain knowledge of current compliance requirements and ethical frameworks</w:t>
            </w:r>
          </w:p>
          <w:p w:rsidR="00000000" w:rsidRPr="00C03E4E" w:rsidP="00C03E4E">
            <w:pPr>
              <w:pStyle w:val="BodyText"/>
            </w:pPr>
            <w:r w:rsidRPr="00C03E4E">
              <w:t>3.2 Share updated knowledge with colleagues and clients and support improved practice through discussion</w:t>
            </w:r>
          </w:p>
          <w:p w:rsidR="00000000" w:rsidRPr="00C03E4E" w:rsidP="00C03E4E">
            <w:pPr>
              <w:pStyle w:val="BodyText"/>
            </w:pPr>
            <w:r w:rsidRPr="00C03E4E">
              <w:t>3.3 Identify situations where work practices could be improved to meet compliance and ethical responsibilities</w:t>
            </w:r>
          </w:p>
          <w:p w:rsidR="00000000" w:rsidRPr="00C03E4E" w:rsidP="00C03E4E">
            <w:pPr>
              <w:pStyle w:val="BodyText"/>
            </w:pPr>
            <w:r w:rsidRPr="00C03E4E">
              <w:t>3.4 Support improved practice through pr</w:t>
            </w:r>
            <w:r w:rsidRPr="00C03E4E">
              <w:t>oactive engagement in review and adjustment of processes and protocols</w:t>
            </w:r>
          </w:p>
        </w:tc>
      </w:tr>
    </w:tbl>
    <w:p w:rsidR="007A32BF" w:rsidP="00C03E4E">
      <w:pPr>
        <w:pStyle w:val="BodyText"/>
      </w:pPr>
    </w:p>
    <w:p w:rsidR="007A32BF" w:rsidP="00C03E4E">
      <w:pPr>
        <w:pStyle w:val="BodyText"/>
      </w:pPr>
    </w:p>
    <w:p w:rsidR="00000000" w:rsidRPr="00C03E4E" w:rsidP="00C03E4E">
      <w:pPr>
        <w:pStyle w:val="Heading1"/>
      </w:pPr>
      <w:bookmarkStart w:id="6" w:name="O_1014158"/>
      <w:bookmarkEnd w:id="6"/>
      <w:r w:rsidRPr="00C03E4E">
        <w:t>Foundation Skills</w:t>
      </w:r>
    </w:p>
    <w:p w:rsidR="00000000" w:rsidRPr="00C03E4E" w:rsidP="007A32BF">
      <w:pPr>
        <w:pStyle w:val="BodyText"/>
      </w:pPr>
      <w:r w:rsidRPr="00C03E4E">
        <w:t>The Foundation Skills describe those required skills (such as, language, literacy, numeracy and employment skills) that are essential to performa</w:t>
      </w:r>
      <w:r w:rsidRPr="00C03E4E">
        <w:t>nce:</w:t>
      </w:r>
    </w:p>
    <w:p w:rsidR="00000000" w:rsidRPr="00C03E4E" w:rsidP="00C03E4E">
      <w:pPr>
        <w:pStyle w:val="ListBullet"/>
      </w:pPr>
      <w:r w:rsidRPr="00C03E4E">
        <w:t>technology skills to research information using digital media.</w:t>
      </w:r>
    </w:p>
    <w:p w:rsidR="007A32BF" w:rsidP="007A32BF">
      <w:pPr>
        <w:pStyle w:val="BodyText"/>
      </w:pPr>
      <w:r w:rsidRPr="00C03E4E">
        <w:t xml:space="preserve">Other foundation skills essential to performance are explicit in the performance criteria of this unit of competency. </w:t>
      </w:r>
    </w:p>
    <w:p w:rsidR="00000000" w:rsidRPr="00C03E4E" w:rsidP="00C03E4E">
      <w:pPr>
        <w:pStyle w:val="Heading1"/>
      </w:pPr>
      <w:bookmarkStart w:id="7" w:name="O_1014157"/>
      <w:bookmarkEnd w:id="7"/>
      <w:r w:rsidRPr="00C03E4E">
        <w:t>Unit Mapping Information</w:t>
      </w:r>
    </w:p>
    <w:p w:rsidR="00000000" w:rsidRPr="00C03E4E" w:rsidP="007A32BF">
      <w:pPr>
        <w:pStyle w:val="BodyText"/>
      </w:pPr>
      <w:r w:rsidRPr="00C03E4E">
        <w:t>No equivalent unit.</w:t>
      </w:r>
    </w:p>
    <w:p w:rsidR="00000000" w:rsidRPr="00C03E4E" w:rsidP="00C03E4E">
      <w:pPr>
        <w:pStyle w:val="Heading1"/>
      </w:pPr>
      <w:bookmarkStart w:id="8" w:name="O_1014150"/>
      <w:bookmarkEnd w:id="8"/>
      <w:r w:rsidRPr="00C03E4E">
        <w:t>Links</w:t>
      </w:r>
    </w:p>
    <w:p w:rsidR="00000000" w:rsidRPr="00C03E4E" w:rsidP="007A32BF">
      <w:pPr>
        <w:pStyle w:val="BodyText"/>
      </w:pPr>
      <w:r w:rsidRPr="00C03E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0255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03E4E" w:rsidP="00C03E4E"/>
    <w:sectPr w:rsidSect="00C03E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4E" w:rsidRPr="007A32BF" w:rsidP="007A3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BF" w:rsidP="00C03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2BF" w:rsidP="00C03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32BF" w:rsidP="00C03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E4E" w:rsidRPr="007A32BF" w:rsidP="007A3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BF" w:rsidRPr="002D2AF8" w:rsidP="00C03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MSFGN4001 Research and meet ethical and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A32BF" w:rsidP="00C03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D26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DC7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E4E"/>
  </w:style>
  <w:style w:type="character" w:customStyle="1" w:styleId="Heading1Char">
    <w:name w:val="Heading 1 Char"/>
    <w:basedOn w:val="DefaultParagraphFont"/>
    <w:link w:val="Heading1"/>
    <w:rsid w:val="00C03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E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E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E4E"/>
    <w:rPr>
      <w:b/>
      <w:spacing w:val="0"/>
    </w:rPr>
  </w:style>
  <w:style w:type="character" w:styleId="Emphasis">
    <w:name w:val="Emphasis"/>
    <w:basedOn w:val="DefaultParagraphFont"/>
    <w:qFormat/>
    <w:rsid w:val="00C03E4E"/>
    <w:rPr>
      <w:i/>
    </w:rPr>
  </w:style>
  <w:style w:type="paragraph" w:customStyle="1" w:styleId="SuperHeading">
    <w:name w:val="SuperHeading"/>
    <w:basedOn w:val="Normal"/>
    <w:rsid w:val="00C03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E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E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E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E4E"/>
  </w:style>
  <w:style w:type="paragraph" w:styleId="TableofFigures">
    <w:name w:val="table of figures"/>
    <w:basedOn w:val="Normal"/>
    <w:next w:val="Normal"/>
    <w:semiHidden/>
    <w:rsid w:val="00C03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E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E4E"/>
    <w:rPr>
      <w:rFonts w:ascii="Wingdings" w:hAnsi="Wingdings"/>
    </w:rPr>
  </w:style>
  <w:style w:type="paragraph" w:customStyle="1" w:styleId="TableHeading">
    <w:name w:val="Table Heading"/>
    <w:basedOn w:val="HeadingBase"/>
    <w:rsid w:val="00C03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E4E"/>
    <w:rPr>
      <w:color w:val="0033CC"/>
      <w:u w:val="none"/>
    </w:rPr>
  </w:style>
  <w:style w:type="paragraph" w:customStyle="1" w:styleId="BodyTextRight">
    <w:name w:val="Body Text Right"/>
    <w:basedOn w:val="BodyText"/>
    <w:rsid w:val="00C03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E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E4E"/>
    <w:rPr>
      <w:sz w:val="32"/>
    </w:rPr>
  </w:style>
  <w:style w:type="paragraph" w:customStyle="1" w:styleId="HeadingProcedure">
    <w:name w:val="Heading Procedure"/>
    <w:basedOn w:val="HeadingBase"/>
    <w:next w:val="Normal"/>
    <w:rsid w:val="00C03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E4E"/>
    <w:pPr>
      <w:spacing w:before="60" w:after="60"/>
    </w:pPr>
  </w:style>
  <w:style w:type="paragraph" w:styleId="ListContinue">
    <w:name w:val="List Continue"/>
    <w:basedOn w:val="List"/>
    <w:rsid w:val="00C03E4E"/>
    <w:pPr>
      <w:ind w:firstLine="0"/>
    </w:pPr>
  </w:style>
  <w:style w:type="paragraph" w:customStyle="1" w:styleId="ListNote">
    <w:name w:val="List Note"/>
    <w:basedOn w:val="List"/>
    <w:rsid w:val="00C03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E4E"/>
    <w:rPr>
      <w:rFonts w:ascii="Courier New" w:hAnsi="Courier New"/>
    </w:rPr>
  </w:style>
  <w:style w:type="paragraph" w:customStyle="1" w:styleId="NoteBullet">
    <w:name w:val="Note Bullet"/>
    <w:basedOn w:val="Note"/>
    <w:rsid w:val="00C03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E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E4E"/>
    <w:rPr>
      <w:b/>
      <w:smallCaps/>
    </w:rPr>
  </w:style>
  <w:style w:type="paragraph" w:customStyle="1" w:styleId="TableListNumber">
    <w:name w:val="Table List Number"/>
    <w:basedOn w:val="ListNumber"/>
    <w:rsid w:val="00C03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E4E"/>
    <w:pPr>
      <w:numPr>
        <w:numId w:val="8"/>
      </w:numPr>
    </w:pPr>
  </w:style>
  <w:style w:type="paragraph" w:customStyle="1" w:styleId="ListAlpha2">
    <w:name w:val="List Alpha 2"/>
    <w:basedOn w:val="List2"/>
    <w:rsid w:val="00C03E4E"/>
    <w:pPr>
      <w:numPr>
        <w:numId w:val="7"/>
      </w:numPr>
    </w:pPr>
  </w:style>
  <w:style w:type="paragraph" w:styleId="List2">
    <w:name w:val="List 2"/>
    <w:basedOn w:val="BodyText"/>
    <w:rsid w:val="00C03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E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E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E4E"/>
    <w:pPr>
      <w:numPr>
        <w:numId w:val="3"/>
      </w:numPr>
    </w:pPr>
  </w:style>
  <w:style w:type="paragraph" w:styleId="ListContinue2">
    <w:name w:val="List Continue 2"/>
    <w:basedOn w:val="List2"/>
    <w:rsid w:val="00C03E4E"/>
    <w:pPr>
      <w:ind w:firstLine="0"/>
    </w:pPr>
  </w:style>
  <w:style w:type="paragraph" w:styleId="ListContinue3">
    <w:name w:val="List Continue 3"/>
    <w:basedOn w:val="List3"/>
    <w:rsid w:val="00C03E4E"/>
    <w:pPr>
      <w:ind w:left="1021" w:firstLine="0"/>
    </w:pPr>
  </w:style>
  <w:style w:type="paragraph" w:styleId="ListContinue4">
    <w:name w:val="List Continue 4"/>
    <w:basedOn w:val="List4"/>
    <w:rsid w:val="00C03E4E"/>
    <w:pPr>
      <w:ind w:firstLine="0"/>
    </w:pPr>
  </w:style>
  <w:style w:type="paragraph" w:styleId="ListContinue5">
    <w:name w:val="List Continue 5"/>
    <w:basedOn w:val="List5"/>
    <w:rsid w:val="00C03E4E"/>
    <w:pPr>
      <w:ind w:firstLine="0"/>
    </w:pPr>
  </w:style>
  <w:style w:type="paragraph" w:styleId="ListNumber3">
    <w:name w:val="List Number 3"/>
    <w:basedOn w:val="List3"/>
    <w:rsid w:val="00C03E4E"/>
    <w:pPr>
      <w:numPr>
        <w:numId w:val="4"/>
      </w:numPr>
    </w:pPr>
  </w:style>
  <w:style w:type="paragraph" w:styleId="ListNumber4">
    <w:name w:val="List Number 4"/>
    <w:basedOn w:val="List4"/>
    <w:rsid w:val="00C03E4E"/>
    <w:pPr>
      <w:numPr>
        <w:numId w:val="5"/>
      </w:numPr>
    </w:pPr>
  </w:style>
  <w:style w:type="paragraph" w:styleId="ListNumber5">
    <w:name w:val="List Number 5"/>
    <w:basedOn w:val="List5"/>
    <w:rsid w:val="00C03E4E"/>
    <w:pPr>
      <w:numPr>
        <w:numId w:val="6"/>
      </w:numPr>
    </w:pPr>
  </w:style>
  <w:style w:type="paragraph" w:styleId="BlockText">
    <w:name w:val="Block Text"/>
    <w:basedOn w:val="Normal"/>
    <w:rsid w:val="00C03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E4E"/>
    <w:rPr>
      <w:sz w:val="16"/>
      <w:vertAlign w:val="superscript"/>
    </w:rPr>
  </w:style>
  <w:style w:type="character" w:customStyle="1" w:styleId="Symbols">
    <w:name w:val="Symbols"/>
    <w:basedOn w:val="DefaultParagraphFont"/>
    <w:rsid w:val="00C03E4E"/>
    <w:rPr>
      <w:rFonts w:ascii="Symbol" w:hAnsi="Symbol"/>
    </w:rPr>
  </w:style>
  <w:style w:type="character" w:customStyle="1" w:styleId="MenuOptions">
    <w:name w:val="Menu Options"/>
    <w:basedOn w:val="DefaultParagraphFont"/>
    <w:rsid w:val="00C03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E4E"/>
    <w:rPr>
      <w:b/>
    </w:rPr>
  </w:style>
  <w:style w:type="character" w:customStyle="1" w:styleId="Underlined">
    <w:name w:val="Underlined"/>
    <w:basedOn w:val="DefaultParagraphFont"/>
    <w:rsid w:val="00C03E4E"/>
    <w:rPr>
      <w:u w:val="single"/>
    </w:rPr>
  </w:style>
  <w:style w:type="paragraph" w:customStyle="1" w:styleId="TableBodyTextRight">
    <w:name w:val="Table Body Text Right"/>
    <w:basedOn w:val="TableBodyText"/>
    <w:rsid w:val="00C03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E4E"/>
    <w:rPr>
      <w:sz w:val="18"/>
    </w:rPr>
  </w:style>
  <w:style w:type="paragraph" w:customStyle="1" w:styleId="BodySmallRight">
    <w:name w:val="Body Small Right"/>
    <w:basedOn w:val="BodyTextRight"/>
    <w:rsid w:val="00C03E4E"/>
    <w:rPr>
      <w:sz w:val="18"/>
      <w:szCs w:val="18"/>
    </w:rPr>
  </w:style>
  <w:style w:type="paragraph" w:customStyle="1" w:styleId="MarginEdition">
    <w:name w:val="Margin Edition"/>
    <w:basedOn w:val="MarginNote"/>
    <w:rsid w:val="00C03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E4E"/>
    <w:rPr>
      <w:sz w:val="2"/>
      <w:szCs w:val="2"/>
    </w:rPr>
  </w:style>
  <w:style w:type="character" w:customStyle="1" w:styleId="Small">
    <w:name w:val="Small"/>
    <w:basedOn w:val="DefaultParagraphFont"/>
    <w:rsid w:val="00C03E4E"/>
    <w:rPr>
      <w:sz w:val="16"/>
    </w:rPr>
  </w:style>
  <w:style w:type="paragraph" w:customStyle="1" w:styleId="WideTable">
    <w:name w:val="Wide Table"/>
    <w:basedOn w:val="Normal"/>
    <w:rsid w:val="00C03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E4E"/>
  </w:style>
  <w:style w:type="paragraph" w:styleId="Quote">
    <w:name w:val="Quote"/>
    <w:basedOn w:val="Heading1"/>
    <w:link w:val="QuoteChar"/>
    <w:qFormat/>
    <w:rsid w:val="00C03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E4E"/>
    <w:pPr>
      <w:pageBreakBefore/>
    </w:pPr>
  </w:style>
  <w:style w:type="paragraph" w:customStyle="1" w:styleId="Border">
    <w:name w:val="Border"/>
    <w:basedOn w:val="Normal"/>
    <w:qFormat/>
    <w:rsid w:val="00C03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E4E"/>
    <w:rPr>
      <w:u w:val="single"/>
    </w:rPr>
  </w:style>
  <w:style w:type="character" w:customStyle="1" w:styleId="BoldandItalics">
    <w:name w:val="Bold and Italics"/>
    <w:qFormat/>
    <w:rsid w:val="00C03E4E"/>
    <w:rPr>
      <w:b/>
      <w:i/>
      <w:u w:val="none"/>
    </w:rPr>
  </w:style>
  <w:style w:type="paragraph" w:styleId="BalloonText">
    <w:name w:val="Balloon Text"/>
    <w:basedOn w:val="Normal"/>
    <w:link w:val="BalloonTextChar"/>
    <w:rsid w:val="00C03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E4E"/>
    <w:pPr>
      <w:spacing w:before="0" w:after="0"/>
    </w:pPr>
  </w:style>
  <w:style w:type="paragraph" w:customStyle="1" w:styleId="BodyTextBold">
    <w:name w:val="Body Text Bold"/>
    <w:basedOn w:val="BodyText"/>
    <w:qFormat/>
    <w:rsid w:val="00C03E4E"/>
    <w:rPr>
      <w:b/>
    </w:rPr>
  </w:style>
  <w:style w:type="character" w:styleId="Hyperlink">
    <w:name w:val="Hyperlink"/>
    <w:basedOn w:val="DefaultParagraphFont"/>
    <w:uiPriority w:val="99"/>
    <w:unhideWhenUsed/>
    <w:rsid w:val="007A3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3050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MSFGN4001 Research and meet ethical and compliance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