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BE2" w:rsidP="00A20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MSFGN4001 Research and meet ethical and compliance requirements</w:t>
      </w:r>
      <w:r>
        <w:fldChar w:fldCharType="end"/>
      </w:r>
    </w:p>
    <w:p w:rsidR="00A20BE2" w:rsidP="00A20BE2">
      <w:pPr>
        <w:pStyle w:val="Version"/>
        <w:sectPr w:rsidSect="00313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A13" w:rsidP="00313A13">
      <w:pPr>
        <w:pStyle w:val="SuperHeading"/>
      </w:pPr>
      <w:r w:rsidRPr="00313A13">
        <w:t>Assessment Requirements for MSFGN4001 Research and meet ethical and compliance requirements</w:t>
      </w:r>
    </w:p>
    <w:p w:rsidR="00000000" w:rsidRPr="00313A13" w:rsidP="00313A13">
      <w:pPr>
        <w:pStyle w:val="Heading1"/>
      </w:pPr>
      <w:bookmarkStart w:id="1" w:name="O_1014152"/>
      <w:bookmarkEnd w:id="1"/>
      <w:r w:rsidRPr="00313A13">
        <w:t>Modification History</w:t>
      </w:r>
    </w:p>
    <w:p w:rsidR="00A20BE2" w:rsidP="00A20BE2">
      <w:pPr>
        <w:pStyle w:val="BodyText"/>
      </w:pPr>
      <w:r w:rsidRPr="00313A13">
        <w:t>Release 1. Supersedes and is not equivalent to MSFFDT</w:t>
      </w:r>
      <w:r w:rsidRPr="00313A13">
        <w:t>2015 Investigate legal requirements for design, and, MSFID4011 Determine work health and safety (WHS) implications of interior effects.</w:t>
      </w:r>
    </w:p>
    <w:p w:rsidR="00000000" w:rsidRPr="00313A13" w:rsidP="00313A13">
      <w:pPr>
        <w:pStyle w:val="Heading1"/>
      </w:pPr>
      <w:bookmarkStart w:id="2" w:name="O_1014155"/>
      <w:bookmarkEnd w:id="2"/>
      <w:r w:rsidRPr="00313A13">
        <w:t>Performance Evidence</w:t>
      </w:r>
    </w:p>
    <w:p w:rsidR="00000000" w:rsidRPr="00313A13" w:rsidP="00A20BE2">
      <w:pPr>
        <w:pStyle w:val="BodyText"/>
      </w:pPr>
      <w:r w:rsidRPr="00313A13">
        <w:t>There must be evidence the candidate has completed the tasks outlined in the el</w:t>
      </w:r>
      <w:r w:rsidRPr="00313A13">
        <w:t>ements and performance criteria of this unit, and:</w:t>
      </w:r>
    </w:p>
    <w:p w:rsidR="00000000" w:rsidRPr="00313A13" w:rsidP="00313A13">
      <w:pPr>
        <w:pStyle w:val="ListBullet"/>
      </w:pPr>
      <w:r w:rsidRPr="00313A13">
        <w:t>researched, interpreted and used ethical and compliance information to address 3 different work situations or product specifications:</w:t>
      </w:r>
    </w:p>
    <w:p w:rsidR="00000000" w:rsidRPr="00313A13" w:rsidP="00313A13">
      <w:pPr>
        <w:pStyle w:val="ListBullet2"/>
      </w:pPr>
      <w:r w:rsidRPr="00313A13">
        <w:t>used digital research methodologies</w:t>
      </w:r>
    </w:p>
    <w:p w:rsidR="00000000" w:rsidRPr="00313A13" w:rsidP="00313A13">
      <w:pPr>
        <w:pStyle w:val="ListBullet2"/>
      </w:pPr>
      <w:r w:rsidRPr="00313A13">
        <w:t>navigated 3 different information</w:t>
      </w:r>
      <w:r w:rsidRPr="00313A13">
        <w:t xml:space="preserve"> sources, 1 of which must be a government website</w:t>
      </w:r>
    </w:p>
    <w:p w:rsidR="00A20BE2" w:rsidP="00313A13">
      <w:pPr>
        <w:pStyle w:val="ListBullet"/>
      </w:pPr>
      <w:r w:rsidRPr="00313A13">
        <w:t>developed compliant and cost-effective responses to 2 different issues of non-compliance and 1 ethical issue.</w:t>
      </w:r>
    </w:p>
    <w:p w:rsidR="00A20BE2" w:rsidP="00313A13">
      <w:pPr>
        <w:pStyle w:val="ListBullet"/>
      </w:pPr>
    </w:p>
    <w:p w:rsidR="00000000" w:rsidRPr="00313A13" w:rsidP="00313A13">
      <w:pPr>
        <w:pStyle w:val="Heading1"/>
      </w:pPr>
      <w:bookmarkStart w:id="3" w:name="O_1014154"/>
      <w:bookmarkEnd w:id="3"/>
      <w:r w:rsidRPr="00313A13">
        <w:t>Knowledge Evidence</w:t>
      </w:r>
    </w:p>
    <w:p w:rsidR="00000000" w:rsidRPr="00313A13" w:rsidP="00A20BE2">
      <w:pPr>
        <w:pStyle w:val="BodyText"/>
      </w:pPr>
      <w:r w:rsidRPr="00313A13">
        <w:t>There must be evidence the candidate has knowledge of:</w:t>
      </w:r>
    </w:p>
    <w:p w:rsidR="00000000" w:rsidRPr="00313A13" w:rsidP="00313A13">
      <w:pPr>
        <w:pStyle w:val="ListBullet"/>
      </w:pPr>
      <w:r w:rsidRPr="00313A13">
        <w:t>sources of information and advice on compliance and ethical practice:</w:t>
      </w:r>
    </w:p>
    <w:p w:rsidR="00000000" w:rsidRPr="00313A13" w:rsidP="00313A13">
      <w:pPr>
        <w:pStyle w:val="ListBullet2"/>
      </w:pPr>
      <w:r w:rsidRPr="00313A13">
        <w:t>local, state, territory or commonwealth government departments or regulatory agencies</w:t>
      </w:r>
    </w:p>
    <w:p w:rsidR="00000000" w:rsidRPr="00313A13" w:rsidP="00313A13">
      <w:pPr>
        <w:pStyle w:val="ListBullet2"/>
      </w:pPr>
      <w:r w:rsidRPr="00313A13">
        <w:t>industry associations</w:t>
      </w:r>
    </w:p>
    <w:p w:rsidR="00000000" w:rsidRPr="00313A13" w:rsidP="00313A13">
      <w:pPr>
        <w:pStyle w:val="ListBullet2"/>
      </w:pPr>
      <w:r w:rsidRPr="00313A13">
        <w:t>Internet</w:t>
      </w:r>
    </w:p>
    <w:p w:rsidR="00000000" w:rsidRPr="00313A13" w:rsidP="00313A13">
      <w:pPr>
        <w:pStyle w:val="ListBullet2"/>
      </w:pPr>
      <w:r w:rsidRPr="00313A13">
        <w:t>legal professionals</w:t>
      </w:r>
    </w:p>
    <w:p w:rsidR="00000000" w:rsidRPr="00313A13" w:rsidP="00313A13">
      <w:pPr>
        <w:pStyle w:val="ListBullet2"/>
      </w:pPr>
      <w:r w:rsidRPr="00313A13">
        <w:t>media</w:t>
      </w:r>
    </w:p>
    <w:p w:rsidR="00000000" w:rsidRPr="00313A13" w:rsidP="00313A13">
      <w:pPr>
        <w:pStyle w:val="ListBullet2"/>
      </w:pPr>
      <w:r w:rsidRPr="00313A13">
        <w:t>unions</w:t>
      </w:r>
    </w:p>
    <w:p w:rsidR="00000000" w:rsidRPr="00313A13" w:rsidP="00313A13">
      <w:pPr>
        <w:pStyle w:val="ListBullet"/>
      </w:pPr>
      <w:r w:rsidRPr="00313A13">
        <w:t xml:space="preserve">online research methodologies and </w:t>
      </w:r>
      <w:r w:rsidRPr="00313A13">
        <w:t>how to assess the credibility of online sources</w:t>
      </w:r>
    </w:p>
    <w:p w:rsidR="00000000" w:rsidRPr="00313A13" w:rsidP="00313A13">
      <w:pPr>
        <w:pStyle w:val="ListBullet"/>
      </w:pPr>
      <w:r w:rsidRPr="00313A13">
        <w:t>objectives and primary components of laws, codes, standards and licensing requirements that impact on businesses in the furnishing industry, relevant to the individual sector:</w:t>
      </w:r>
    </w:p>
    <w:p w:rsidR="00000000" w:rsidRPr="00313A13" w:rsidP="00313A13">
      <w:pPr>
        <w:pStyle w:val="ListBullet2"/>
      </w:pPr>
      <w:r w:rsidRPr="00313A13">
        <w:t>Australian Consumer Law</w:t>
      </w:r>
    </w:p>
    <w:p w:rsidR="00000000" w:rsidRPr="00313A13" w:rsidP="00313A13">
      <w:pPr>
        <w:pStyle w:val="ListBullet2"/>
      </w:pPr>
      <w:r w:rsidRPr="00313A13">
        <w:t>Austral</w:t>
      </w:r>
      <w:r w:rsidRPr="00313A13">
        <w:t xml:space="preserve">ian Standards </w:t>
      </w:r>
    </w:p>
    <w:p w:rsidR="00000000" w:rsidRPr="00313A13" w:rsidP="00313A13">
      <w:pPr>
        <w:pStyle w:val="ListBullet2"/>
      </w:pPr>
      <w:r w:rsidRPr="00313A13">
        <w:t>duty of care imposed by the Law of Torts</w:t>
      </w:r>
    </w:p>
    <w:p w:rsidR="00000000" w:rsidRPr="00313A13" w:rsidP="00313A13">
      <w:pPr>
        <w:pStyle w:val="ListBullet2"/>
      </w:pPr>
      <w:r w:rsidRPr="00313A13">
        <w:t>fundamentals of contract law</w:t>
      </w:r>
    </w:p>
    <w:p w:rsidR="00000000" w:rsidRPr="00313A13" w:rsidP="00313A13">
      <w:pPr>
        <w:pStyle w:val="ListBullet2"/>
      </w:pPr>
      <w:r w:rsidRPr="00313A13">
        <w:t>import / export regulations</w:t>
      </w:r>
    </w:p>
    <w:p w:rsidR="00000000" w:rsidRPr="00313A13" w:rsidP="00313A13">
      <w:pPr>
        <w:pStyle w:val="ListBullet2"/>
      </w:pPr>
      <w:r w:rsidRPr="00313A13">
        <w:t>intellectual property and copyright</w:t>
      </w:r>
    </w:p>
    <w:p w:rsidR="00000000" w:rsidRPr="00313A13" w:rsidP="00313A13">
      <w:pPr>
        <w:pStyle w:val="ListBullet2"/>
      </w:pPr>
      <w:r w:rsidRPr="00313A13">
        <w:t>National Construction Code</w:t>
      </w:r>
    </w:p>
    <w:p w:rsidR="00000000" w:rsidRPr="00313A13" w:rsidP="00313A13">
      <w:pPr>
        <w:pStyle w:val="ListBullet2"/>
      </w:pPr>
      <w:r w:rsidRPr="00313A13">
        <w:t>sustainability – sourcing and use of materials</w:t>
      </w:r>
    </w:p>
    <w:p w:rsidR="00000000" w:rsidRPr="00313A13" w:rsidP="00313A13">
      <w:pPr>
        <w:pStyle w:val="ListBullet2"/>
      </w:pPr>
      <w:r w:rsidRPr="00313A13">
        <w:t>work health and safety</w:t>
      </w:r>
    </w:p>
    <w:p w:rsidR="00000000" w:rsidRPr="00313A13" w:rsidP="00313A13">
      <w:pPr>
        <w:pStyle w:val="ListBullet"/>
      </w:pPr>
      <w:r w:rsidRPr="00313A13">
        <w:t>the following aspects of the above laws, regulations, codes and standards:</w:t>
      </w:r>
    </w:p>
    <w:p w:rsidR="00000000" w:rsidRPr="00313A13" w:rsidP="00313A13">
      <w:pPr>
        <w:pStyle w:val="ListBullet2"/>
      </w:pPr>
      <w:r w:rsidRPr="00313A13">
        <w:t>auditing and inspection regimes</w:t>
      </w:r>
    </w:p>
    <w:p w:rsidR="00000000" w:rsidRPr="00313A13" w:rsidP="00313A13">
      <w:pPr>
        <w:pStyle w:val="ListBullet2"/>
      </w:pPr>
      <w:r w:rsidRPr="00313A13">
        <w:t xml:space="preserve">key business insurances </w:t>
      </w:r>
    </w:p>
    <w:p w:rsidR="00000000" w:rsidRPr="00313A13" w:rsidP="00313A13">
      <w:pPr>
        <w:pStyle w:val="ListBullet2"/>
      </w:pPr>
      <w:r w:rsidRPr="00313A13">
        <w:t xml:space="preserve">key practices that are prohibited </w:t>
      </w:r>
    </w:p>
    <w:p w:rsidR="00000000" w:rsidRPr="00313A13" w:rsidP="00313A13">
      <w:pPr>
        <w:pStyle w:val="ListBullet2"/>
      </w:pPr>
      <w:r w:rsidRPr="00313A13">
        <w:t>main consequences of non-compliance</w:t>
      </w:r>
    </w:p>
    <w:p w:rsidR="00000000" w:rsidRPr="00313A13" w:rsidP="00313A13">
      <w:pPr>
        <w:pStyle w:val="ListBullet2"/>
      </w:pPr>
      <w:r w:rsidRPr="00313A13">
        <w:t>need to apply for and maintain business or occupatio</w:t>
      </w:r>
      <w:r w:rsidRPr="00313A13">
        <w:t xml:space="preserve">nal licensing </w:t>
      </w:r>
    </w:p>
    <w:p w:rsidR="00000000" w:rsidRPr="00313A13" w:rsidP="00313A13">
      <w:pPr>
        <w:pStyle w:val="ListBullet2"/>
      </w:pPr>
      <w:r w:rsidRPr="00313A13">
        <w:t>requirements for record keeping and acceptable record keeping mechanisms</w:t>
      </w:r>
    </w:p>
    <w:p w:rsidR="00000000" w:rsidRPr="00313A13" w:rsidP="00313A13">
      <w:pPr>
        <w:pStyle w:val="ListBullet2"/>
      </w:pPr>
      <w:r w:rsidRPr="00313A13">
        <w:t>requirements to develop and implement plans, policies and procedures</w:t>
      </w:r>
    </w:p>
    <w:p w:rsidR="00000000" w:rsidRPr="00313A13" w:rsidP="00313A13">
      <w:pPr>
        <w:pStyle w:val="ListBullet2"/>
      </w:pPr>
      <w:r w:rsidRPr="00313A13">
        <w:t>rights and responsibilities of employees and employers</w:t>
      </w:r>
    </w:p>
    <w:p w:rsidR="00000000" w:rsidRPr="00313A13" w:rsidP="00313A13">
      <w:pPr>
        <w:pStyle w:val="ListBullet2"/>
      </w:pPr>
      <w:r w:rsidRPr="00313A13">
        <w:t xml:space="preserve">statutory reporting requirements </w:t>
      </w:r>
    </w:p>
    <w:p w:rsidR="00000000" w:rsidRPr="00313A13" w:rsidP="00313A13">
      <w:pPr>
        <w:pStyle w:val="ListBullet"/>
      </w:pPr>
      <w:r w:rsidRPr="00313A13">
        <w:t>ethical issues of specific relevance to the furnishing sector, and strategies that support ethical practice, including in the area of sustainability</w:t>
      </w:r>
    </w:p>
    <w:p w:rsidR="00000000" w:rsidRPr="00313A13" w:rsidP="00313A13">
      <w:pPr>
        <w:pStyle w:val="ListBullet"/>
      </w:pPr>
      <w:r w:rsidRPr="00313A13">
        <w:t>the relationship between compliance and ethics</w:t>
      </w:r>
    </w:p>
    <w:p w:rsidR="00000000" w:rsidRPr="00313A13" w:rsidP="00313A13">
      <w:pPr>
        <w:pStyle w:val="ListBullet"/>
      </w:pPr>
      <w:r w:rsidRPr="00313A13">
        <w:t>workplace policies, procedures and protocols:</w:t>
      </w:r>
    </w:p>
    <w:p w:rsidR="00000000" w:rsidRPr="00313A13" w:rsidP="00313A13">
      <w:pPr>
        <w:pStyle w:val="ListBullet2"/>
      </w:pPr>
      <w:r w:rsidRPr="00313A13">
        <w:t>how they are/</w:t>
      </w:r>
      <w:r w:rsidRPr="00313A13">
        <w:t>should be developed</w:t>
      </w:r>
    </w:p>
    <w:p w:rsidR="00A20BE2" w:rsidP="00313A13">
      <w:pPr>
        <w:pStyle w:val="ListBullet2"/>
      </w:pPr>
      <w:r w:rsidRPr="00313A13">
        <w:t>processes for review, including consultation and mechanisms for input.</w:t>
      </w:r>
    </w:p>
    <w:p w:rsidR="00A20BE2" w:rsidP="00313A13">
      <w:pPr>
        <w:pStyle w:val="ListBullet2"/>
      </w:pPr>
    </w:p>
    <w:p w:rsidR="00000000" w:rsidRPr="00313A13" w:rsidP="00313A13">
      <w:pPr>
        <w:pStyle w:val="Heading1"/>
      </w:pPr>
      <w:bookmarkStart w:id="4" w:name="O_1014153"/>
      <w:bookmarkEnd w:id="4"/>
      <w:r w:rsidRPr="00313A13">
        <w:t>Assessment Conditions</w:t>
      </w:r>
    </w:p>
    <w:p w:rsidR="00000000" w:rsidRPr="00313A13" w:rsidP="00A20BE2">
      <w:pPr>
        <w:pStyle w:val="BodyText"/>
      </w:pPr>
      <w:r w:rsidRPr="00313A13">
        <w:t>Skills must have been demonstrated in the workplace or in a simulated environment that reflects workplace conditions and co</w:t>
      </w:r>
      <w:r w:rsidRPr="00313A13">
        <w:t xml:space="preserve">ntingencies. The following conditions must be met for this unit: </w:t>
      </w:r>
    </w:p>
    <w:p w:rsidR="00000000" w:rsidRPr="00313A13" w:rsidP="00313A13">
      <w:pPr>
        <w:pStyle w:val="ListBullet"/>
      </w:pPr>
      <w:r w:rsidRPr="00313A13">
        <w:t xml:space="preserve">use of suitable facilities, equipment and resources, including: </w:t>
      </w:r>
    </w:p>
    <w:p w:rsidR="00000000" w:rsidRPr="00313A13" w:rsidP="00313A13">
      <w:pPr>
        <w:pStyle w:val="ListBullet2"/>
      </w:pPr>
      <w:r w:rsidRPr="00313A13">
        <w:t>information technology for research.</w:t>
      </w:r>
    </w:p>
    <w:p w:rsidR="00A20BE2" w:rsidP="00A20BE2">
      <w:pPr>
        <w:pStyle w:val="BodyText"/>
      </w:pPr>
      <w:r w:rsidRPr="00313A13">
        <w:t>Assessors must satisfy the NVR/AQTF mandatory competency requirements for assessors.</w:t>
      </w:r>
    </w:p>
    <w:p w:rsidR="00000000" w:rsidRPr="00313A13" w:rsidP="00313A13">
      <w:pPr>
        <w:pStyle w:val="Heading1"/>
      </w:pPr>
      <w:bookmarkStart w:id="5" w:name="O_1014151"/>
      <w:bookmarkEnd w:id="5"/>
      <w:r w:rsidRPr="00313A13">
        <w:t>Links</w:t>
      </w:r>
    </w:p>
    <w:p w:rsidR="00000000" w:rsidRPr="00313A13" w:rsidP="00A20BE2">
      <w:pPr>
        <w:pStyle w:val="BodyText"/>
      </w:pPr>
      <w:r w:rsidRPr="00313A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A6D7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13A13" w:rsidP="00313A13"/>
    <w:sectPr w:rsidSect="00313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13" w:rsidRPr="00A20BE2" w:rsidP="00A20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E2" w:rsidP="00313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BE2" w:rsidP="00313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0BE2" w:rsidP="00313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A13" w:rsidRPr="00A20BE2" w:rsidP="00A20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E2" w:rsidRPr="002D2AF8" w:rsidP="00313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MSFGN4001 Research and meet ethical and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20BE2" w:rsidP="00313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862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BA9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3E7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A13"/>
  </w:style>
  <w:style w:type="character" w:customStyle="1" w:styleId="Heading1Char">
    <w:name w:val="Heading 1 Char"/>
    <w:basedOn w:val="DefaultParagraphFont"/>
    <w:link w:val="Heading1"/>
    <w:rsid w:val="00313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A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3A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3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3A13"/>
    <w:rPr>
      <w:b/>
      <w:spacing w:val="0"/>
    </w:rPr>
  </w:style>
  <w:style w:type="paragraph" w:customStyle="1" w:styleId="SuperTitle">
    <w:name w:val="SuperTitle"/>
    <w:basedOn w:val="Title"/>
    <w:rsid w:val="00313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A13"/>
    <w:rPr>
      <w:i/>
    </w:rPr>
  </w:style>
  <w:style w:type="paragraph" w:styleId="Caption">
    <w:name w:val="caption"/>
    <w:basedOn w:val="BodyText"/>
    <w:next w:val="Normal"/>
    <w:qFormat/>
    <w:rsid w:val="00313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A13"/>
  </w:style>
  <w:style w:type="paragraph" w:styleId="TableofFigures">
    <w:name w:val="table of figures"/>
    <w:basedOn w:val="Normal"/>
    <w:next w:val="Normal"/>
    <w:semiHidden/>
    <w:rsid w:val="00313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A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3A13"/>
    <w:rPr>
      <w:rFonts w:ascii="Wingdings" w:hAnsi="Wingdings"/>
    </w:rPr>
  </w:style>
  <w:style w:type="paragraph" w:customStyle="1" w:styleId="TableHeading">
    <w:name w:val="Table Heading"/>
    <w:basedOn w:val="HeadingBase"/>
    <w:rsid w:val="00313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A13"/>
    <w:rPr>
      <w:color w:val="0033CC"/>
      <w:u w:val="none"/>
    </w:rPr>
  </w:style>
  <w:style w:type="paragraph" w:customStyle="1" w:styleId="BodyTextRight">
    <w:name w:val="Body Text Right"/>
    <w:basedOn w:val="BodyText"/>
    <w:rsid w:val="00313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A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A13"/>
    <w:rPr>
      <w:sz w:val="32"/>
    </w:rPr>
  </w:style>
  <w:style w:type="paragraph" w:customStyle="1" w:styleId="HeadingProcedure">
    <w:name w:val="Heading Procedure"/>
    <w:basedOn w:val="HeadingBase"/>
    <w:next w:val="Normal"/>
    <w:rsid w:val="00313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A13"/>
    <w:pPr>
      <w:spacing w:before="60" w:after="60"/>
    </w:pPr>
  </w:style>
  <w:style w:type="paragraph" w:styleId="ListContinue">
    <w:name w:val="List Continue"/>
    <w:basedOn w:val="List"/>
    <w:rsid w:val="00313A13"/>
    <w:pPr>
      <w:ind w:firstLine="0"/>
    </w:pPr>
  </w:style>
  <w:style w:type="paragraph" w:customStyle="1" w:styleId="ListNote">
    <w:name w:val="List Note"/>
    <w:basedOn w:val="List"/>
    <w:rsid w:val="00313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A13"/>
    <w:rPr>
      <w:rFonts w:ascii="Courier New" w:hAnsi="Courier New"/>
    </w:rPr>
  </w:style>
  <w:style w:type="paragraph" w:customStyle="1" w:styleId="NoteBullet">
    <w:name w:val="Note Bullet"/>
    <w:basedOn w:val="Note"/>
    <w:rsid w:val="00313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A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3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A13"/>
    <w:rPr>
      <w:b/>
      <w:smallCaps/>
    </w:rPr>
  </w:style>
  <w:style w:type="paragraph" w:customStyle="1" w:styleId="TableListNumber">
    <w:name w:val="Table List Number"/>
    <w:basedOn w:val="ListNumber"/>
    <w:rsid w:val="00313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A13"/>
    <w:pPr>
      <w:numPr>
        <w:numId w:val="9"/>
      </w:numPr>
    </w:pPr>
  </w:style>
  <w:style w:type="paragraph" w:customStyle="1" w:styleId="ListAlpha2">
    <w:name w:val="List Alpha 2"/>
    <w:basedOn w:val="List2"/>
    <w:rsid w:val="00313A13"/>
    <w:pPr>
      <w:numPr>
        <w:numId w:val="8"/>
      </w:numPr>
    </w:pPr>
  </w:style>
  <w:style w:type="paragraph" w:styleId="List2">
    <w:name w:val="List 2"/>
    <w:basedOn w:val="BodyText"/>
    <w:rsid w:val="00313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A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A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3A13"/>
    <w:pPr>
      <w:numPr>
        <w:numId w:val="4"/>
      </w:numPr>
    </w:pPr>
  </w:style>
  <w:style w:type="paragraph" w:styleId="ListContinue2">
    <w:name w:val="List Continue 2"/>
    <w:basedOn w:val="List2"/>
    <w:rsid w:val="00313A13"/>
    <w:pPr>
      <w:ind w:firstLine="0"/>
    </w:pPr>
  </w:style>
  <w:style w:type="paragraph" w:styleId="ListContinue3">
    <w:name w:val="List Continue 3"/>
    <w:basedOn w:val="List3"/>
    <w:rsid w:val="00313A13"/>
    <w:pPr>
      <w:ind w:left="1021" w:firstLine="0"/>
    </w:pPr>
  </w:style>
  <w:style w:type="paragraph" w:styleId="ListContinue4">
    <w:name w:val="List Continue 4"/>
    <w:basedOn w:val="List4"/>
    <w:rsid w:val="00313A13"/>
    <w:pPr>
      <w:ind w:firstLine="0"/>
    </w:pPr>
  </w:style>
  <w:style w:type="paragraph" w:styleId="ListContinue5">
    <w:name w:val="List Continue 5"/>
    <w:basedOn w:val="List5"/>
    <w:rsid w:val="00313A13"/>
    <w:pPr>
      <w:ind w:firstLine="0"/>
    </w:pPr>
  </w:style>
  <w:style w:type="paragraph" w:styleId="ListNumber3">
    <w:name w:val="List Number 3"/>
    <w:basedOn w:val="List3"/>
    <w:rsid w:val="00313A13"/>
    <w:pPr>
      <w:numPr>
        <w:numId w:val="5"/>
      </w:numPr>
    </w:pPr>
  </w:style>
  <w:style w:type="paragraph" w:styleId="ListNumber4">
    <w:name w:val="List Number 4"/>
    <w:basedOn w:val="List4"/>
    <w:rsid w:val="00313A13"/>
    <w:pPr>
      <w:numPr>
        <w:numId w:val="6"/>
      </w:numPr>
    </w:pPr>
  </w:style>
  <w:style w:type="paragraph" w:styleId="ListNumber5">
    <w:name w:val="List Number 5"/>
    <w:basedOn w:val="List5"/>
    <w:rsid w:val="00313A13"/>
    <w:pPr>
      <w:numPr>
        <w:numId w:val="7"/>
      </w:numPr>
    </w:pPr>
  </w:style>
  <w:style w:type="paragraph" w:styleId="BlockText">
    <w:name w:val="Block Text"/>
    <w:basedOn w:val="Normal"/>
    <w:rsid w:val="00313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A13"/>
    <w:rPr>
      <w:sz w:val="16"/>
      <w:vertAlign w:val="superscript"/>
    </w:rPr>
  </w:style>
  <w:style w:type="character" w:customStyle="1" w:styleId="Symbols">
    <w:name w:val="Symbols"/>
    <w:basedOn w:val="DefaultParagraphFont"/>
    <w:rsid w:val="00313A13"/>
    <w:rPr>
      <w:rFonts w:ascii="Symbol" w:hAnsi="Symbol"/>
    </w:rPr>
  </w:style>
  <w:style w:type="character" w:customStyle="1" w:styleId="MenuOptions">
    <w:name w:val="Menu Options"/>
    <w:basedOn w:val="DefaultParagraphFont"/>
    <w:rsid w:val="00313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A13"/>
    <w:rPr>
      <w:b/>
    </w:rPr>
  </w:style>
  <w:style w:type="character" w:customStyle="1" w:styleId="Underlined">
    <w:name w:val="Underlined"/>
    <w:basedOn w:val="DefaultParagraphFont"/>
    <w:rsid w:val="00313A13"/>
    <w:rPr>
      <w:u w:val="single"/>
    </w:rPr>
  </w:style>
  <w:style w:type="paragraph" w:customStyle="1" w:styleId="TableBodyTextRight">
    <w:name w:val="Table Body Text Right"/>
    <w:basedOn w:val="TableBodyText"/>
    <w:rsid w:val="00313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A13"/>
    <w:rPr>
      <w:sz w:val="18"/>
    </w:rPr>
  </w:style>
  <w:style w:type="paragraph" w:customStyle="1" w:styleId="BodySmallRight">
    <w:name w:val="Body Small Right"/>
    <w:basedOn w:val="BodyTextRight"/>
    <w:rsid w:val="00313A13"/>
    <w:rPr>
      <w:sz w:val="18"/>
      <w:szCs w:val="18"/>
    </w:rPr>
  </w:style>
  <w:style w:type="paragraph" w:customStyle="1" w:styleId="MarginEdition">
    <w:name w:val="Margin Edition"/>
    <w:basedOn w:val="MarginNote"/>
    <w:rsid w:val="00313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A13"/>
    <w:rPr>
      <w:sz w:val="2"/>
      <w:szCs w:val="2"/>
    </w:rPr>
  </w:style>
  <w:style w:type="character" w:customStyle="1" w:styleId="Small">
    <w:name w:val="Small"/>
    <w:basedOn w:val="DefaultParagraphFont"/>
    <w:rsid w:val="00313A13"/>
    <w:rPr>
      <w:sz w:val="16"/>
    </w:rPr>
  </w:style>
  <w:style w:type="paragraph" w:customStyle="1" w:styleId="WideTable">
    <w:name w:val="Wide Table"/>
    <w:basedOn w:val="Normal"/>
    <w:rsid w:val="00313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A13"/>
  </w:style>
  <w:style w:type="paragraph" w:styleId="Quote">
    <w:name w:val="Quote"/>
    <w:basedOn w:val="Heading1"/>
    <w:link w:val="QuoteChar"/>
    <w:qFormat/>
    <w:rsid w:val="00313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A13"/>
    <w:pPr>
      <w:pageBreakBefore/>
    </w:pPr>
  </w:style>
  <w:style w:type="paragraph" w:customStyle="1" w:styleId="Border">
    <w:name w:val="Border"/>
    <w:basedOn w:val="Normal"/>
    <w:qFormat/>
    <w:rsid w:val="00313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A13"/>
    <w:rPr>
      <w:u w:val="single"/>
    </w:rPr>
  </w:style>
  <w:style w:type="character" w:customStyle="1" w:styleId="BoldandItalics">
    <w:name w:val="Bold and Italics"/>
    <w:qFormat/>
    <w:rsid w:val="00313A13"/>
    <w:rPr>
      <w:b/>
      <w:i/>
      <w:u w:val="none"/>
    </w:rPr>
  </w:style>
  <w:style w:type="paragraph" w:styleId="BalloonText">
    <w:name w:val="Balloon Text"/>
    <w:basedOn w:val="Normal"/>
    <w:link w:val="BalloonTextChar"/>
    <w:rsid w:val="0031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A13"/>
    <w:pPr>
      <w:spacing w:before="0" w:after="0"/>
    </w:pPr>
  </w:style>
  <w:style w:type="paragraph" w:customStyle="1" w:styleId="BodyTextBold">
    <w:name w:val="Body Text Bold"/>
    <w:basedOn w:val="BodyText"/>
    <w:qFormat/>
    <w:rsid w:val="00313A13"/>
    <w:rPr>
      <w:b/>
    </w:rPr>
  </w:style>
  <w:style w:type="character" w:styleId="Hyperlink">
    <w:name w:val="Hyperlink"/>
    <w:basedOn w:val="DefaultParagraphFont"/>
    <w:uiPriority w:val="99"/>
    <w:unhideWhenUsed/>
    <w:rsid w:val="00A20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2889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MSFGN4001 Research and meet ethical and compliance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