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97F" w:rsidP="00C4597F">
      <w:pPr>
        <w:pStyle w:val="Title"/>
      </w:pPr>
      <w:r>
        <w:fldChar w:fldCharType="begin"/>
      </w:r>
      <w:r>
        <w:instrText xml:space="preserve"> TITLE   \* MERGEFORMAT </w:instrText>
      </w:r>
      <w:r>
        <w:fldChar w:fldCharType="separate"/>
      </w:r>
      <w:r>
        <w:t>MSFGG4023 Plan and coordinate complex glazing installations</w:t>
      </w:r>
      <w:r>
        <w:fldChar w:fldCharType="end"/>
      </w:r>
    </w:p>
    <w:p w:rsidR="00C4597F" w:rsidP="00C4597F">
      <w:pPr>
        <w:pStyle w:val="Version"/>
        <w:sectPr w:rsidSect="00B22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75C" w:rsidP="00B2275C">
      <w:pPr>
        <w:pStyle w:val="SuperHeading"/>
      </w:pPr>
      <w:r w:rsidRPr="00B2275C">
        <w:t>MSFGG4023 Plan and coordinate complex glazing installations</w:t>
      </w:r>
    </w:p>
    <w:p w:rsidR="00000000" w:rsidRPr="00B2275C" w:rsidP="00B2275C">
      <w:pPr>
        <w:pStyle w:val="Heading1"/>
      </w:pPr>
      <w:bookmarkStart w:id="1" w:name="O_1263982"/>
      <w:bookmarkEnd w:id="1"/>
      <w:r w:rsidRPr="00B2275C">
        <w:t>Modification History</w:t>
      </w:r>
    </w:p>
    <w:p w:rsidR="00000000" w:rsidRPr="00B2275C" w:rsidP="00C4597F">
      <w:pPr>
        <w:pStyle w:val="BodyText"/>
      </w:pPr>
      <w:r w:rsidRPr="00B2275C">
        <w:t xml:space="preserve">Release 1. Supersedes and is equivalent to MSFGG4016 Plan and coordinate commercial glazing installations. Changes to title, application, elements, performance criteria and assessment requirements. </w:t>
      </w:r>
    </w:p>
    <w:p w:rsidR="00000000" w:rsidRPr="00B2275C" w:rsidP="00B2275C">
      <w:pPr>
        <w:pStyle w:val="Heading1"/>
      </w:pPr>
      <w:bookmarkStart w:id="2" w:name="O_1263983"/>
      <w:bookmarkEnd w:id="2"/>
      <w:r w:rsidRPr="00B2275C">
        <w:t>Application</w:t>
      </w:r>
    </w:p>
    <w:p w:rsidR="00000000" w:rsidRPr="00B2275C" w:rsidP="00C4597F">
      <w:pPr>
        <w:pStyle w:val="BodyText"/>
      </w:pPr>
      <w:r w:rsidRPr="00B2275C">
        <w:t>This unit describes the skills and knowledge required to plan and coordinate complex glazing installations. Complex installations involve planning and coordination with multiple other stakeholders and site personnel and include installations r</w:t>
      </w:r>
      <w:r w:rsidRPr="00B2275C">
        <w:t>equiring advanced handling and installation techniques.</w:t>
      </w:r>
    </w:p>
    <w:p w:rsidR="00000000" w:rsidRPr="00B2275C" w:rsidP="00C4597F">
      <w:pPr>
        <w:pStyle w:val="BodyText"/>
      </w:pPr>
      <w:r w:rsidRPr="00B2275C">
        <w:t>This unit applies to experienced workers who interpret and use advanced technical information to develop solutions to potentially complex glass and glazing requirements. They commonly work independent</w:t>
      </w:r>
      <w:r w:rsidRPr="00B2275C">
        <w:t>ly and typically solve complex problems that require theoretical knowledge and experience about the specification, manufacture and installation of a wide range of glass and glazing products. Job roles commonly involve leadership and supervisorial responsib</w:t>
      </w:r>
      <w:r w:rsidRPr="00B2275C">
        <w:t>ilities.</w:t>
      </w:r>
    </w:p>
    <w:p w:rsidR="00000000" w:rsidRPr="00B2275C" w:rsidP="00C4597F">
      <w:pPr>
        <w:pStyle w:val="BodyText"/>
      </w:pPr>
      <w:r w:rsidRPr="00B2275C">
        <w:t>Workers with this competency perform specialist or leadership functions in glass and glazing enterprises. They interpret contract documentation, develop a project schedule, coordinate resources, and communicate with a diverse range of site personn</w:t>
      </w:r>
      <w:r w:rsidRPr="00B2275C">
        <w:t>el to meet quality requirements.</w:t>
      </w:r>
    </w:p>
    <w:p w:rsidR="00000000" w:rsidRPr="00B2275C" w:rsidP="00C4597F">
      <w:pPr>
        <w:pStyle w:val="BodyText"/>
      </w:pPr>
      <w:r w:rsidRPr="00B2275C">
        <w:t>At the time of this unit’s release, the work described in this unit does not require licensing or certification, but state or territory authorities should be consulted to determine the current status. Workers on constructio</w:t>
      </w:r>
      <w:r w:rsidRPr="00B2275C">
        <w:t>n sites are required by law to complete induction training. They must also comply with relevant legislation, Australian Standards, codes and manufacturers’ installation instructions.</w:t>
      </w:r>
    </w:p>
    <w:p w:rsidR="00000000" w:rsidRPr="00B2275C" w:rsidP="00B2275C">
      <w:pPr>
        <w:pStyle w:val="Heading1"/>
      </w:pPr>
      <w:bookmarkStart w:id="3" w:name="O_1263985"/>
      <w:bookmarkEnd w:id="3"/>
      <w:r w:rsidRPr="00B2275C">
        <w:t>Competency Field</w:t>
      </w:r>
    </w:p>
    <w:p w:rsidR="00000000" w:rsidRPr="00B2275C" w:rsidP="00C4597F">
      <w:pPr>
        <w:pStyle w:val="BodyText"/>
      </w:pPr>
      <w:r w:rsidRPr="00B2275C">
        <w:t>Glass and glazing</w:t>
      </w:r>
    </w:p>
    <w:p w:rsidR="00000000" w:rsidRPr="00B2275C" w:rsidP="00B2275C">
      <w:pPr>
        <w:pStyle w:val="Heading1"/>
      </w:pPr>
      <w:bookmarkStart w:id="4" w:name="O_1263987"/>
      <w:bookmarkEnd w:id="4"/>
      <w:r w:rsidRPr="00B2275C">
        <w:t>Elements and Performance Criteria</w:t>
      </w:r>
    </w:p>
    <w:tbl>
      <w:tblPr>
        <w:tblW w:w="9639" w:type="dxa"/>
        <w:tblLayout w:type="fixed"/>
        <w:tblCellMar>
          <w:left w:w="62" w:type="dxa"/>
          <w:right w:w="62" w:type="dxa"/>
        </w:tblCellMar>
        <w:tblLook w:val="0000"/>
      </w:tblPr>
      <w:tblGrid>
        <w:gridCol w:w="2502"/>
        <w:gridCol w:w="7137"/>
      </w:tblGrid>
      <w:tr w:rsidTr="00C4597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275C" w:rsidP="00B2275C">
            <w:pPr>
              <w:pStyle w:val="BodyText"/>
            </w:pPr>
            <w:r w:rsidRPr="00B227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75C">
            <w:pPr>
              <w:pStyle w:val="BodyText"/>
              <w:rPr>
                <w:lang w:val="en-NZ"/>
              </w:rPr>
            </w:pPr>
            <w:r w:rsidRPr="00B2275C">
              <w:rPr>
                <w:rStyle w:val="SpecialBold"/>
              </w:rPr>
              <w:t>Performance Criteria</w:t>
            </w:r>
          </w:p>
        </w:tc>
      </w:tr>
      <w:tr w:rsidTr="00C4597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Performance criteria describe the performance needed to demonstrate achievement of the element.</w:t>
            </w:r>
          </w:p>
        </w:tc>
      </w:tr>
      <w:tr w:rsidTr="00C45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 xml:space="preserve">1. Determine </w:t>
            </w:r>
            <w:r w:rsidRPr="00B2275C">
              <w:t>installation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75C" w:rsidP="00B2275C">
            <w:pPr>
              <w:pStyle w:val="BodyText"/>
            </w:pPr>
            <w:r w:rsidRPr="00B2275C">
              <w:t>1.1 Identify the scope of works by analysing contract documentation</w:t>
            </w:r>
          </w:p>
          <w:p w:rsidR="00000000" w:rsidRPr="00B2275C" w:rsidP="00B2275C">
            <w:pPr>
              <w:pStyle w:val="BodyText"/>
            </w:pPr>
            <w:r w:rsidRPr="00B2275C">
              <w:t>1.2 Determine glazing installation requirements and timing in consultation with principal contractors, architects and engineers</w:t>
            </w:r>
          </w:p>
          <w:p w:rsidR="00000000" w:rsidRPr="00B2275C" w:rsidP="00B2275C">
            <w:pPr>
              <w:pStyle w:val="BodyText"/>
            </w:pPr>
            <w:r w:rsidRPr="00B2275C">
              <w:t>1.3 Determine and document internal and external human, phys</w:t>
            </w:r>
            <w:r w:rsidRPr="00B2275C">
              <w:t>ical and financial resource requirements according to the scope of works</w:t>
            </w:r>
          </w:p>
          <w:p w:rsidR="00000000" w:rsidP="00B2275C">
            <w:pPr>
              <w:pStyle w:val="BodyText"/>
              <w:rPr>
                <w:lang w:val="en-NZ"/>
              </w:rPr>
            </w:pPr>
            <w:r w:rsidRPr="00B2275C">
              <w:t>1.4 Identify and document site requirements and limitations</w:t>
            </w:r>
          </w:p>
        </w:tc>
      </w:tr>
      <w:tr w:rsidTr="00C45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2. Plan the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75C" w:rsidP="00B2275C">
            <w:pPr>
              <w:pStyle w:val="BodyText"/>
            </w:pPr>
            <w:r w:rsidRPr="00B2275C">
              <w:t>2.1 Develop an installation schedule to meet timeframes, sequence operations and allocate respons</w:t>
            </w:r>
            <w:r w:rsidRPr="00B2275C">
              <w:t>ibilities in consultation with other building trades and contractors</w:t>
            </w:r>
          </w:p>
          <w:p w:rsidR="00000000" w:rsidRPr="00B2275C" w:rsidP="00B2275C">
            <w:pPr>
              <w:pStyle w:val="BodyText"/>
            </w:pPr>
            <w:r w:rsidRPr="00B2275C">
              <w:t>2.2 Define the critical path for the installation according to the installation schedule</w:t>
            </w:r>
          </w:p>
          <w:p w:rsidR="00000000" w:rsidRPr="00B2275C" w:rsidP="00B2275C">
            <w:pPr>
              <w:pStyle w:val="BodyText"/>
            </w:pPr>
            <w:r w:rsidRPr="00B2275C">
              <w:t>2.3 Organise the supply of resources from internal or external sources and record supply details</w:t>
            </w:r>
          </w:p>
          <w:p w:rsidR="00000000" w:rsidRPr="00B2275C" w:rsidP="00B2275C">
            <w:pPr>
              <w:pStyle w:val="BodyText"/>
            </w:pPr>
            <w:r w:rsidRPr="00B2275C">
              <w:t>2</w:t>
            </w:r>
            <w:r w:rsidRPr="00B2275C">
              <w:t>.4 Develop installation site and safety plans to coordinate with other building trades and contractors</w:t>
            </w:r>
          </w:p>
          <w:p w:rsidR="00000000" w:rsidRPr="00B2275C" w:rsidP="00B2275C">
            <w:pPr>
              <w:pStyle w:val="BodyText"/>
            </w:pPr>
            <w:r w:rsidRPr="00B2275C">
              <w:t>2.5 Obtain permits within the required time frames</w:t>
            </w:r>
          </w:p>
          <w:p w:rsidR="00000000" w:rsidP="00B2275C">
            <w:pPr>
              <w:pStyle w:val="BodyText"/>
              <w:rPr>
                <w:lang w:val="en-NZ"/>
              </w:rPr>
            </w:pPr>
            <w:r w:rsidRPr="00B2275C">
              <w:t>2.6 Monitor project time frames, and adjust them if necessary to account for other construction activi</w:t>
            </w:r>
            <w:r w:rsidRPr="00B2275C">
              <w:t>ty</w:t>
            </w:r>
          </w:p>
        </w:tc>
      </w:tr>
      <w:tr w:rsidTr="00C45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3. Coordinate delivery and start-up</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75C" w:rsidP="00B2275C">
            <w:pPr>
              <w:pStyle w:val="BodyText"/>
            </w:pPr>
            <w:r w:rsidRPr="00B2275C">
              <w:t>3.1 Check and supervise onsite plant delivery and placement against the installation schedule and site and safety plans</w:t>
            </w:r>
          </w:p>
          <w:p w:rsidR="00000000" w:rsidRPr="00B2275C" w:rsidP="00B2275C">
            <w:pPr>
              <w:pStyle w:val="BodyText"/>
            </w:pPr>
            <w:r w:rsidRPr="00B2275C">
              <w:t>3.2 Schedule and monitor onsite human resource requirements according to the installation schedule, the scope of role and workplace procedures</w:t>
            </w:r>
          </w:p>
          <w:p w:rsidR="00000000" w:rsidP="00B2275C">
            <w:pPr>
              <w:pStyle w:val="BodyText"/>
              <w:rPr>
                <w:lang w:val="en-NZ"/>
              </w:rPr>
            </w:pPr>
            <w:r w:rsidRPr="00B2275C">
              <w:t>3.3 Support the effective coordination of installation activity through engagement with the construction work sup</w:t>
            </w:r>
            <w:r w:rsidRPr="00B2275C">
              <w:t>ervisor and other tradespeople</w:t>
            </w:r>
          </w:p>
        </w:tc>
      </w:tr>
      <w:tr w:rsidTr="00C45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4. Coordinate on-site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75C" w:rsidP="00B2275C">
            <w:pPr>
              <w:pStyle w:val="BodyText"/>
            </w:pPr>
            <w:r w:rsidRPr="00B2275C">
              <w:t>4.1 Monitor the quality and safety of work through ongoing communication with key site stakeholders and physical site inspections</w:t>
            </w:r>
          </w:p>
          <w:p w:rsidR="00000000" w:rsidRPr="00B2275C" w:rsidP="00B2275C">
            <w:pPr>
              <w:pStyle w:val="BodyText"/>
            </w:pPr>
            <w:r w:rsidRPr="00B2275C">
              <w:t>4.2 Monitor the work and performance of subcontracted plant</w:t>
            </w:r>
            <w:r w:rsidRPr="00B2275C">
              <w:t xml:space="preserve"> operators and staff against agreed requirements</w:t>
            </w:r>
          </w:p>
          <w:p w:rsidR="00000000" w:rsidRPr="00B2275C" w:rsidP="00B2275C">
            <w:pPr>
              <w:pStyle w:val="BodyText"/>
            </w:pPr>
            <w:r w:rsidRPr="00B2275C">
              <w:t>4.3 Prepare site reports of supervisory inspections with any variation requests or requirements and communicate them to the appropriate people</w:t>
            </w:r>
          </w:p>
          <w:p w:rsidR="00000000" w:rsidP="00B2275C">
            <w:pPr>
              <w:pStyle w:val="BodyText"/>
              <w:rPr>
                <w:lang w:val="en-NZ"/>
              </w:rPr>
            </w:pPr>
            <w:r w:rsidRPr="00B2275C">
              <w:t>4.4 Complete administrative processes to meet regulatory and org</w:t>
            </w:r>
            <w:r w:rsidRPr="00B2275C">
              <w:t>anisational requirements</w:t>
            </w:r>
          </w:p>
        </w:tc>
      </w:tr>
      <w:tr w:rsidTr="00C4597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75C">
            <w:pPr>
              <w:pStyle w:val="BodyText"/>
              <w:rPr>
                <w:lang w:val="en-NZ"/>
              </w:rPr>
            </w:pPr>
            <w:r w:rsidRPr="00B2275C">
              <w:t xml:space="preserve">5. Manage quality </w:t>
            </w:r>
            <w:r w:rsidRPr="00B2275C">
              <w:t>compliance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75C" w:rsidP="00B2275C">
            <w:pPr>
              <w:pStyle w:val="BodyText"/>
            </w:pPr>
            <w:r w:rsidRPr="00B2275C">
              <w:t xml:space="preserve">5.1 Inspect and monitor site checklists, detailing specific items at </w:t>
            </w:r>
            <w:r w:rsidRPr="00B2275C">
              <w:t>appropriate stages</w:t>
            </w:r>
          </w:p>
          <w:p w:rsidR="00000000" w:rsidRPr="00B2275C" w:rsidP="00B2275C">
            <w:pPr>
              <w:pStyle w:val="BodyText"/>
            </w:pPr>
            <w:r w:rsidRPr="00B2275C">
              <w:t>5.2 Use industry and workplace quality manuals and procedures in managing the quality process with all quality re</w:t>
            </w:r>
            <w:r w:rsidRPr="00B2275C">
              <w:t>quirements communicated to onsite personnel</w:t>
            </w:r>
          </w:p>
          <w:p w:rsidR="00000000" w:rsidRPr="00B2275C" w:rsidP="00B2275C">
            <w:pPr>
              <w:pStyle w:val="BodyText"/>
            </w:pPr>
            <w:r w:rsidRPr="00B2275C">
              <w:t>5.3 Check work against contractual quality standards and organise and check any required rectifications for completion</w:t>
            </w:r>
          </w:p>
          <w:p w:rsidR="00000000" w:rsidRPr="00B2275C" w:rsidP="00B2275C">
            <w:pPr>
              <w:pStyle w:val="BodyText"/>
            </w:pPr>
            <w:r w:rsidRPr="00B2275C">
              <w:t>5.4 Arrange and accurately document regulatory inspections of the completed installation</w:t>
            </w:r>
          </w:p>
          <w:p w:rsidR="00000000" w:rsidRPr="00B2275C" w:rsidP="00B2275C">
            <w:pPr>
              <w:pStyle w:val="BodyText"/>
            </w:pPr>
            <w:r w:rsidRPr="00B2275C">
              <w:t xml:space="preserve">5.5 </w:t>
            </w:r>
            <w:r w:rsidRPr="00B2275C">
              <w:t>Accurately complete final contract documentation according to job requirements and communicate to relevant personnel</w:t>
            </w:r>
          </w:p>
        </w:tc>
      </w:tr>
    </w:tbl>
    <w:p w:rsidR="00000000" w:rsidRPr="00B2275C" w:rsidP="00B2275C">
      <w:pPr>
        <w:pStyle w:val="BodyText"/>
      </w:pPr>
    </w:p>
    <w:p w:rsidR="00000000" w:rsidRPr="00B2275C" w:rsidP="00B2275C">
      <w:pPr>
        <w:pStyle w:val="AllowPageBreak"/>
      </w:pPr>
    </w:p>
    <w:p w:rsidR="00000000" w:rsidRPr="00B2275C" w:rsidP="00B2275C">
      <w:pPr>
        <w:pStyle w:val="Heading1"/>
      </w:pPr>
      <w:bookmarkStart w:id="5" w:name="O_1263988"/>
      <w:bookmarkEnd w:id="5"/>
      <w:r w:rsidRPr="00B2275C">
        <w:t>Foundation Skills</w:t>
      </w:r>
    </w:p>
    <w:p w:rsidR="00000000" w:rsidRPr="00B2275C" w:rsidP="00C4597F">
      <w:pPr>
        <w:pStyle w:val="BodyText"/>
      </w:pPr>
      <w:r w:rsidRPr="00B2275C">
        <w:t>This section describes those language, literacy, numeracy and employment skills that are essential t</w:t>
      </w:r>
      <w:r w:rsidRPr="00B2275C">
        <w:t>o performance but not explicit in the performance criteria.</w:t>
      </w:r>
    </w:p>
    <w:p w:rsidR="00000000" w:rsidRPr="00B2275C" w:rsidP="00C4597F">
      <w:pPr>
        <w:pStyle w:val="BodyText"/>
      </w:pPr>
      <w:r w:rsidRPr="00B2275C">
        <w:t>Foundation skills essential to performance are explicit in the performance criteria of this unit of competency.</w:t>
      </w:r>
    </w:p>
    <w:p w:rsidR="00000000" w:rsidRPr="00B2275C" w:rsidP="00B2275C">
      <w:pPr>
        <w:pStyle w:val="Heading1"/>
      </w:pPr>
      <w:bookmarkStart w:id="6" w:name="O_1263990"/>
      <w:bookmarkEnd w:id="6"/>
      <w:r w:rsidRPr="00B2275C">
        <w:t>Unit Mapping Information</w:t>
      </w:r>
    </w:p>
    <w:p w:rsidR="00000000" w:rsidRPr="00B2275C" w:rsidP="00C4597F">
      <w:pPr>
        <w:pStyle w:val="BodyText"/>
      </w:pPr>
      <w:r w:rsidRPr="00B2275C">
        <w:t>Supersedes and is equivalent to MSFGG4016 Plan and coordinate commercial glazing installations.</w:t>
      </w:r>
    </w:p>
    <w:p w:rsidR="00000000" w:rsidRPr="00B2275C" w:rsidP="00B2275C">
      <w:pPr>
        <w:pStyle w:val="Heading1"/>
      </w:pPr>
      <w:bookmarkStart w:id="7" w:name="O_1263997"/>
      <w:bookmarkEnd w:id="7"/>
      <w:r w:rsidRPr="00B2275C">
        <w:t>Links</w:t>
      </w:r>
    </w:p>
    <w:p w:rsidR="00000000" w:rsidRPr="00B2275C" w:rsidP="00C4597F">
      <w:pPr>
        <w:pStyle w:val="BodyText"/>
      </w:pPr>
      <w:r w:rsidRPr="00B2275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B4E19">
        <w:rPr>
          <w:rStyle w:val="Hyperlink"/>
        </w:rPr>
        <w:t>https://vetnet.gov.au/Pages/TrainingDocs.aspx?q=0601ab95-583a-4e93-b2d4-cfb27b03ed73</w:t>
      </w:r>
      <w:r>
        <w:fldChar w:fldCharType="end"/>
      </w:r>
    </w:p>
    <w:p w:rsidR="00000000" w:rsidRPr="00B2275C" w:rsidP="00C4597F">
      <w:pPr>
        <w:pStyle w:val="BodyText"/>
        <w:sectPr w:rsidSect="00B2275C">
          <w:headerReference w:type="default" r:id="rId10"/>
          <w:footerReference w:type="default" r:id="rId11"/>
          <w:pgSz w:w="11908" w:h="16833"/>
          <w:pgMar w:top="1702" w:right="1418" w:bottom="1702" w:left="1418" w:header="992" w:footer="992" w:gutter="0"/>
          <w:cols w:space="720"/>
          <w:noEndnote/>
          <w:docGrid w:linePitch="299"/>
        </w:sectPr>
      </w:pPr>
    </w:p>
    <w:p w:rsidR="00000000" w:rsidRPr="00B2275C" w:rsidP="00B2275C">
      <w:pPr>
        <w:pStyle w:val="SuperHeading"/>
      </w:pPr>
      <w:r w:rsidRPr="00B2275C">
        <w:t>Assessment Requirements for MSFGG4023 Plan and coordinate complex glazing installations</w:t>
      </w:r>
    </w:p>
    <w:p w:rsidR="00000000" w:rsidRPr="00B2275C" w:rsidP="00B2275C">
      <w:pPr>
        <w:pStyle w:val="Heading1"/>
      </w:pPr>
      <w:bookmarkStart w:id="8" w:name="O_1263992"/>
      <w:bookmarkEnd w:id="8"/>
      <w:r w:rsidRPr="00B2275C">
        <w:t>Modification History</w:t>
      </w:r>
    </w:p>
    <w:p w:rsidR="00000000" w:rsidRPr="00B2275C" w:rsidP="00C4597F">
      <w:pPr>
        <w:pStyle w:val="BodyText"/>
      </w:pPr>
      <w:r w:rsidRPr="00B2275C">
        <w:t>Release 1. Supersedes and is equivalent to MSFGG4016 Plan and coordin</w:t>
      </w:r>
      <w:r w:rsidRPr="00B2275C">
        <w:t xml:space="preserve">ate commercial glazing installations. Changes to title, application, elements, performance criteria and assessment requirements. </w:t>
      </w:r>
    </w:p>
    <w:p w:rsidR="00000000" w:rsidRPr="00B2275C" w:rsidP="00B2275C">
      <w:pPr>
        <w:pStyle w:val="Heading1"/>
      </w:pPr>
      <w:bookmarkStart w:id="9" w:name="O_1263993"/>
      <w:bookmarkEnd w:id="9"/>
      <w:r w:rsidRPr="00B2275C">
        <w:t>Performance Evidence</w:t>
      </w:r>
    </w:p>
    <w:p w:rsidR="00000000" w:rsidRPr="00B2275C" w:rsidP="00C4597F">
      <w:pPr>
        <w:pStyle w:val="BodyText"/>
      </w:pPr>
      <w:r w:rsidRPr="00B2275C">
        <w:t>There must be evidence the candidate has completed the tasks in the elements and perfo</w:t>
      </w:r>
      <w:r w:rsidRPr="00B2275C">
        <w:t>rmance criteria of this unit, and:</w:t>
      </w:r>
    </w:p>
    <w:p w:rsidR="00000000" w:rsidRPr="00B2275C" w:rsidP="00B2275C">
      <w:pPr>
        <w:pStyle w:val="ListBullet"/>
      </w:pPr>
      <w:r w:rsidRPr="00B2275C">
        <w:t>planned and coordinated two complex glazing installations according to contract requirements.</w:t>
      </w:r>
    </w:p>
    <w:p w:rsidR="00000000" w:rsidRPr="00B2275C" w:rsidP="00B2275C">
      <w:pPr>
        <w:pStyle w:val="AllowPageBreak"/>
      </w:pPr>
    </w:p>
    <w:p w:rsidR="00000000" w:rsidRPr="00B2275C" w:rsidP="00B2275C">
      <w:pPr>
        <w:pStyle w:val="Heading1"/>
      </w:pPr>
      <w:bookmarkStart w:id="10" w:name="O_1263994"/>
      <w:bookmarkEnd w:id="10"/>
      <w:r w:rsidRPr="00B2275C">
        <w:t>Knowledge Evidence</w:t>
      </w:r>
    </w:p>
    <w:p w:rsidR="00000000" w:rsidRPr="00B2275C" w:rsidP="00C4597F">
      <w:pPr>
        <w:pStyle w:val="BodyText"/>
      </w:pPr>
      <w:r w:rsidRPr="00B2275C">
        <w:t>There must be evidence the candidate has knowledge of:</w:t>
      </w:r>
    </w:p>
    <w:p w:rsidR="00000000" w:rsidRPr="00B2275C" w:rsidP="00B2275C">
      <w:pPr>
        <w:pStyle w:val="ListBullet"/>
      </w:pPr>
      <w:r w:rsidRPr="00B2275C">
        <w:t>state or territory building and construction codes, standards and government regulations relevant to the installation being undertaken</w:t>
      </w:r>
    </w:p>
    <w:p w:rsidR="00000000" w:rsidRPr="00B2275C" w:rsidP="00B2275C">
      <w:pPr>
        <w:pStyle w:val="ListBullet"/>
      </w:pPr>
      <w:r w:rsidRPr="00B2275C">
        <w:t>glass and glazing industry standards and codes of practice</w:t>
      </w:r>
    </w:p>
    <w:p w:rsidR="00000000" w:rsidRPr="00B2275C" w:rsidP="00B2275C">
      <w:pPr>
        <w:pStyle w:val="ListBullet"/>
      </w:pPr>
      <w:r w:rsidRPr="00B2275C">
        <w:t>complex glazing handling and installation techniques</w:t>
      </w:r>
    </w:p>
    <w:p w:rsidR="00000000" w:rsidRPr="00B2275C" w:rsidP="00B2275C">
      <w:pPr>
        <w:pStyle w:val="ListBullet"/>
      </w:pPr>
      <w:r w:rsidRPr="00B2275C">
        <w:t>certifica</w:t>
      </w:r>
      <w:r w:rsidRPr="00B2275C">
        <w:t>tion requirements for glazing installation work performed under regulations or local authority requirements and processes and timeframes for regulatory approvals</w:t>
      </w:r>
    </w:p>
    <w:p w:rsidR="00000000" w:rsidRPr="00B2275C" w:rsidP="00B2275C">
      <w:pPr>
        <w:pStyle w:val="ListBullet"/>
      </w:pPr>
      <w:r w:rsidRPr="00B2275C">
        <w:t>features, formats and inclusions in contract documentation and how to interpret these</w:t>
      </w:r>
    </w:p>
    <w:p w:rsidR="00000000" w:rsidRPr="00B2275C" w:rsidP="00B2275C">
      <w:pPr>
        <w:pStyle w:val="ListBullet"/>
      </w:pPr>
      <w:r w:rsidRPr="00B2275C">
        <w:t>key stak</w:t>
      </w:r>
      <w:r w:rsidRPr="00B2275C">
        <w:t>eholders in complex glazing installations and communication and negotiation techniques for establishing and maintaining effective working relationships with them</w:t>
      </w:r>
    </w:p>
    <w:p w:rsidR="00000000" w:rsidRPr="00B2275C" w:rsidP="00B2275C">
      <w:pPr>
        <w:pStyle w:val="ListBullet"/>
      </w:pPr>
      <w:r w:rsidRPr="00B2275C">
        <w:t>potential site requirements and limitations, and how these are managed:</w:t>
      </w:r>
    </w:p>
    <w:p w:rsidR="00000000" w:rsidRPr="00B2275C" w:rsidP="00B2275C">
      <w:pPr>
        <w:pStyle w:val="ListBullet2"/>
      </w:pPr>
      <w:r w:rsidRPr="00B2275C">
        <w:t>access permits</w:t>
      </w:r>
    </w:p>
    <w:p w:rsidR="00000000" w:rsidRPr="00B2275C" w:rsidP="00B2275C">
      <w:pPr>
        <w:pStyle w:val="ListBullet2"/>
      </w:pPr>
      <w:r w:rsidRPr="00B2275C">
        <w:t>access</w:t>
      </w:r>
      <w:r w:rsidRPr="00B2275C">
        <w:t xml:space="preserve"> limitations and challenges and impact on work</w:t>
      </w:r>
    </w:p>
    <w:p w:rsidR="00000000" w:rsidRPr="00B2275C" w:rsidP="00B2275C">
      <w:pPr>
        <w:pStyle w:val="ListBullet2"/>
      </w:pPr>
      <w:r w:rsidRPr="00B2275C">
        <w:t>communication protocols</w:t>
      </w:r>
    </w:p>
    <w:p w:rsidR="00000000" w:rsidRPr="00B2275C" w:rsidP="00B2275C">
      <w:pPr>
        <w:pStyle w:val="ListBullet2"/>
      </w:pPr>
      <w:r w:rsidRPr="00B2275C">
        <w:t>delivery processes</w:t>
      </w:r>
    </w:p>
    <w:p w:rsidR="00000000" w:rsidRPr="00B2275C" w:rsidP="00B2275C">
      <w:pPr>
        <w:pStyle w:val="ListBullet2"/>
      </w:pPr>
      <w:r w:rsidRPr="00B2275C">
        <w:t>impact of other building and construction personnel and equipment</w:t>
      </w:r>
    </w:p>
    <w:p w:rsidR="00000000" w:rsidRPr="00B2275C" w:rsidP="00B2275C">
      <w:pPr>
        <w:pStyle w:val="ListBullet2"/>
      </w:pPr>
      <w:r w:rsidRPr="00B2275C">
        <w:t>safety requirements</w:t>
      </w:r>
    </w:p>
    <w:p w:rsidR="00000000" w:rsidRPr="00B2275C" w:rsidP="00B2275C">
      <w:pPr>
        <w:pStyle w:val="ListBullet2"/>
      </w:pPr>
      <w:r w:rsidRPr="00B2275C">
        <w:t>regulatory requirements</w:t>
      </w:r>
    </w:p>
    <w:p w:rsidR="00000000" w:rsidRPr="00B2275C" w:rsidP="00B2275C">
      <w:pPr>
        <w:pStyle w:val="ListBullet"/>
      </w:pPr>
      <w:r w:rsidRPr="00B2275C">
        <w:t>project management and critical path techniques:</w:t>
      </w:r>
    </w:p>
    <w:p w:rsidR="00000000" w:rsidRPr="00B2275C" w:rsidP="00B2275C">
      <w:pPr>
        <w:pStyle w:val="ListBullet2"/>
      </w:pPr>
      <w:r w:rsidRPr="00B2275C">
        <w:t>planning and scheduling</w:t>
      </w:r>
    </w:p>
    <w:p w:rsidR="00000000" w:rsidRPr="00B2275C" w:rsidP="00B2275C">
      <w:pPr>
        <w:pStyle w:val="ListBullet2"/>
      </w:pPr>
      <w:r w:rsidRPr="00B2275C">
        <w:t>documentation</w:t>
      </w:r>
    </w:p>
    <w:p w:rsidR="00000000" w:rsidRPr="00B2275C" w:rsidP="00B2275C">
      <w:pPr>
        <w:pStyle w:val="ListBullet2"/>
      </w:pPr>
      <w:r w:rsidRPr="00B2275C">
        <w:t>monitoring</w:t>
      </w:r>
    </w:p>
    <w:p w:rsidR="00000000" w:rsidRPr="00B2275C" w:rsidP="00B2275C">
      <w:pPr>
        <w:pStyle w:val="ListBullet2"/>
      </w:pPr>
      <w:r w:rsidRPr="00B2275C">
        <w:t>communication</w:t>
      </w:r>
    </w:p>
    <w:p w:rsidR="00000000" w:rsidRPr="00B2275C" w:rsidP="00B2275C">
      <w:pPr>
        <w:pStyle w:val="ListBullet"/>
      </w:pPr>
      <w:r w:rsidRPr="00B2275C">
        <w:t>quality control processes and how these are implemented.</w:t>
      </w:r>
    </w:p>
    <w:p w:rsidR="00000000" w:rsidRPr="00B2275C" w:rsidP="00B2275C">
      <w:pPr>
        <w:pStyle w:val="AllowPageBreak"/>
      </w:pPr>
    </w:p>
    <w:p w:rsidR="00000000" w:rsidRPr="00B2275C" w:rsidP="00B2275C">
      <w:pPr>
        <w:pStyle w:val="Heading1"/>
      </w:pPr>
      <w:bookmarkStart w:id="11" w:name="O_1263995"/>
      <w:bookmarkEnd w:id="11"/>
      <w:r w:rsidRPr="00B2275C">
        <w:t>Assessment Conditions</w:t>
      </w:r>
    </w:p>
    <w:p w:rsidR="00000000" w:rsidRPr="00B2275C" w:rsidP="00C4597F">
      <w:pPr>
        <w:pStyle w:val="BodyText"/>
      </w:pPr>
      <w:r w:rsidRPr="00B2275C">
        <w:t>Skills must have been demonstrated in the workplace and at sites where complex glazing is bein</w:t>
      </w:r>
      <w:r w:rsidRPr="00B2275C">
        <w:t>g installed or in a simulated environment that reflects workplace conditions and contingencies.</w:t>
      </w:r>
    </w:p>
    <w:p w:rsidR="00000000" w:rsidRPr="00B2275C" w:rsidP="00B2275C">
      <w:pPr>
        <w:pStyle w:val="ListBullet"/>
      </w:pPr>
      <w:r w:rsidRPr="00B2275C">
        <w:t>use of suitable facilities, equipment and resources, including:</w:t>
      </w:r>
    </w:p>
    <w:p w:rsidR="00000000" w:rsidRPr="00B2275C" w:rsidP="00B2275C">
      <w:pPr>
        <w:pStyle w:val="ListBullet2"/>
      </w:pPr>
      <w:r w:rsidRPr="00B2275C">
        <w:t>a site requiring a complex glazing installation</w:t>
      </w:r>
    </w:p>
    <w:p w:rsidR="00000000" w:rsidRPr="00B2275C" w:rsidP="00B2275C">
      <w:pPr>
        <w:pStyle w:val="ListBullet2"/>
      </w:pPr>
      <w:r w:rsidRPr="00B2275C">
        <w:t>equipment and personnel required for the activities set out in the elements and performance criteria</w:t>
      </w:r>
    </w:p>
    <w:p w:rsidR="00000000" w:rsidRPr="00B2275C" w:rsidP="00B2275C">
      <w:pPr>
        <w:pStyle w:val="ListBullet2"/>
      </w:pPr>
      <w:r w:rsidRPr="00B2275C">
        <w:t>contract documentation for the installation, and industry and workplace quality manuals and procedures.</w:t>
      </w:r>
    </w:p>
    <w:p w:rsidR="00C4597F" w:rsidP="00C4597F">
      <w:pPr>
        <w:pStyle w:val="BodyText"/>
      </w:pPr>
      <w:r w:rsidRPr="00B2275C">
        <w:t>Assessors must satisfy the NVR/AQTF mandatory compe</w:t>
      </w:r>
      <w:r w:rsidRPr="00B2275C">
        <w:t>tency requirements for assessors.</w:t>
      </w:r>
    </w:p>
    <w:p w:rsidR="00000000" w:rsidRPr="00B2275C" w:rsidP="00B2275C">
      <w:pPr>
        <w:pStyle w:val="Heading1"/>
      </w:pPr>
      <w:bookmarkStart w:id="12" w:name="O_1263998"/>
      <w:bookmarkEnd w:id="12"/>
      <w:r w:rsidRPr="00B2275C">
        <w:t>Links</w:t>
      </w:r>
    </w:p>
    <w:p w:rsidR="00000000" w:rsidRPr="00B2275C" w:rsidP="00C4597F">
      <w:pPr>
        <w:pStyle w:val="BodyText"/>
      </w:pPr>
      <w:r w:rsidRPr="00B2275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B4E19">
        <w:rPr>
          <w:rStyle w:val="Hyperlink"/>
        </w:rPr>
        <w:t>https://vetnet.gov.au/Pages/TrainingDocs.aspx?q=0601ab95-583a-4e93-b2d4-cfb27b03ed73</w:t>
      </w:r>
      <w:r>
        <w:fldChar w:fldCharType="end"/>
      </w:r>
    </w:p>
    <w:p w:rsidR="00000000" w:rsidRPr="00B2275C" w:rsidP="00B2275C"/>
    <w:sectPr w:rsidSect="00B227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rsidRPr="00C4597F" w:rsidP="00C45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F" w:rsidP="00B22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97F" w:rsidP="00B227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597F" w:rsidP="00B227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rsidP="00B2275C">
    <w:pPr>
      <w:pStyle w:val="Footer"/>
      <w:framePr w:wrap="around"/>
    </w:pPr>
    <w:r>
      <w:fldChar w:fldCharType="begin"/>
    </w:r>
    <w:r>
      <w:instrText xml:space="preserve"> DOCPROPERTY  Subject  \* MERGEFORMAT </w:instrText>
    </w:r>
    <w:r>
      <w:fldChar w:fldCharType="separate"/>
    </w:r>
    <w:r w:rsidR="00C4597F">
      <w:t>Approved</w:t>
    </w:r>
    <w:r w:rsidR="00C4597F">
      <w:fldChar w:fldCharType="end"/>
    </w:r>
    <w:r>
      <w:tab/>
      <w:t xml:space="preserve">Page </w:t>
    </w:r>
    <w:r>
      <w:fldChar w:fldCharType="begin"/>
    </w:r>
    <w:r>
      <w:instrText xml:space="preserve"> PAGE  \* Arabic  \* MERGEFORMAT </w:instrText>
    </w:r>
    <w:r>
      <w:fldChar w:fldCharType="separate"/>
    </w:r>
    <w:r w:rsidR="00C459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97F">
      <w:rPr>
        <w:noProof/>
      </w:rPr>
      <w:t>4</w:t>
    </w:r>
    <w:r>
      <w:rPr>
        <w:noProof/>
      </w:rPr>
      <w:fldChar w:fldCharType="end"/>
    </w:r>
  </w:p>
  <w:p w:rsidR="00B2275C" w:rsidP="00B2275C">
    <w:pPr>
      <w:pStyle w:val="Footer"/>
      <w:framePr w:wrap="around"/>
    </w:pPr>
    <w:r>
      <w:t xml:space="preserve">© Commonwealth of Australia, </w:t>
    </w:r>
    <w:r>
      <w:fldChar w:fldCharType="begin"/>
    </w:r>
    <w:r>
      <w:instrText xml:space="preserve"> DATE  \@ "yyyy"  \* MERGEFORMAT </w:instrText>
    </w:r>
    <w:r>
      <w:fldChar w:fldCharType="separate"/>
    </w:r>
    <w:r w:rsidR="00C4597F">
      <w:rPr>
        <w:noProof/>
      </w:rPr>
      <w:t>2025</w:t>
    </w:r>
    <w:r>
      <w:fldChar w:fldCharType="end"/>
    </w:r>
    <w:r>
      <w:tab/>
    </w:r>
    <w:r>
      <w:fldChar w:fldCharType="begin"/>
    </w:r>
    <w:r>
      <w:instrText xml:space="preserve"> DOCPROPERTY  Author  \* MERGEFORMAT </w:instrText>
    </w:r>
    <w:r>
      <w:fldChar w:fldCharType="separate"/>
    </w:r>
    <w:r w:rsidR="00C4597F">
      <w:t>Skills Insight</w:t>
    </w:r>
    <w:r w:rsidR="00C4597F">
      <w:fldChar w:fldCharType="end"/>
    </w:r>
  </w:p>
  <w:p w:rsidR="00B2275C" w:rsidP="00B22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75C" w:rsidRPr="00C4597F" w:rsidP="00C45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F" w:rsidRPr="002D2AF8" w:rsidP="00B2275C">
    <w:pPr>
      <w:pStyle w:val="Header"/>
      <w:framePr w:wrap="around"/>
    </w:pPr>
    <w:r>
      <w:fldChar w:fldCharType="begin"/>
    </w:r>
    <w:r>
      <w:instrText xml:space="preserve"> TITLE   \* MERGEFORMAT </w:instrText>
    </w:r>
    <w:r>
      <w:fldChar w:fldCharType="separate"/>
    </w:r>
    <w:r>
      <w:t>MSFGG4023 Plan and coordinate complex glazing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597F" w:rsidP="00B227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75C" w:rsidRPr="002D2AF8" w:rsidP="00B2275C">
    <w:pPr>
      <w:pStyle w:val="Header"/>
      <w:framePr w:wrap="around"/>
    </w:pPr>
    <w:r>
      <w:fldChar w:fldCharType="begin"/>
    </w:r>
    <w:r>
      <w:instrText xml:space="preserve"> TITLE   \* MERGEFORMAT </w:instrText>
    </w:r>
    <w:r>
      <w:fldChar w:fldCharType="separate"/>
    </w:r>
    <w:r w:rsidR="00C4597F">
      <w:t>MSFGG4023 Plan and coordinate complex glazing installations</w:t>
    </w:r>
    <w:r w:rsidR="00C4597F">
      <w:fldChar w:fldCharType="end"/>
    </w:r>
    <w:r>
      <w:tab/>
      <w:t xml:space="preserve">Date this document was generated: </w:t>
    </w:r>
    <w:r>
      <w:fldChar w:fldCharType="begin"/>
    </w:r>
    <w:r>
      <w:instrText xml:space="preserve"> CREATEDATE  \@ "d MMMM yyyy"  \* MERGEFORMAT </w:instrText>
    </w:r>
    <w:r>
      <w:fldChar w:fldCharType="separate"/>
    </w:r>
    <w:r w:rsidR="00C4597F">
      <w:rPr>
        <w:noProof/>
      </w:rPr>
      <w:t>2 March 2025</w:t>
    </w:r>
    <w:r>
      <w:fldChar w:fldCharType="end"/>
    </w:r>
  </w:p>
  <w:p w:rsidR="00B2275C" w:rsidP="00B22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AE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0E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62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75C"/>
    <w:pPr>
      <w:spacing w:before="360" w:after="60"/>
      <w:outlineLvl w:val="0"/>
    </w:pPr>
    <w:rPr>
      <w:sz w:val="32"/>
    </w:rPr>
  </w:style>
  <w:style w:type="paragraph" w:styleId="Heading2">
    <w:name w:val="heading 2"/>
    <w:basedOn w:val="HeadingBase"/>
    <w:next w:val="BodyText"/>
    <w:link w:val="Heading2Char"/>
    <w:qFormat/>
    <w:rsid w:val="00B2275C"/>
    <w:pPr>
      <w:keepLines/>
      <w:spacing w:before="240" w:after="120"/>
      <w:outlineLvl w:val="1"/>
    </w:pPr>
    <w:rPr>
      <w:sz w:val="28"/>
      <w:szCs w:val="40"/>
    </w:rPr>
  </w:style>
  <w:style w:type="paragraph" w:styleId="Heading3">
    <w:name w:val="heading 3"/>
    <w:basedOn w:val="HeadingBase"/>
    <w:next w:val="BodyText"/>
    <w:link w:val="Heading3Char"/>
    <w:qFormat/>
    <w:rsid w:val="00B2275C"/>
    <w:pPr>
      <w:spacing w:before="180" w:after="120"/>
      <w:outlineLvl w:val="2"/>
    </w:pPr>
    <w:rPr>
      <w:spacing w:val="-10"/>
      <w:kern w:val="32"/>
    </w:rPr>
  </w:style>
  <w:style w:type="paragraph" w:styleId="Heading4">
    <w:name w:val="heading 4"/>
    <w:basedOn w:val="HeadingBase"/>
    <w:next w:val="BodyText"/>
    <w:link w:val="Heading4Char"/>
    <w:qFormat/>
    <w:rsid w:val="00B2275C"/>
    <w:pPr>
      <w:spacing w:before="160" w:after="120"/>
      <w:outlineLvl w:val="3"/>
    </w:pPr>
    <w:rPr>
      <w:sz w:val="22"/>
    </w:rPr>
  </w:style>
  <w:style w:type="paragraph" w:styleId="Heading5">
    <w:name w:val="heading 5"/>
    <w:basedOn w:val="HeadingBase"/>
    <w:next w:val="Normal"/>
    <w:link w:val="Heading5Char"/>
    <w:qFormat/>
    <w:rsid w:val="00B2275C"/>
    <w:pPr>
      <w:spacing w:before="80"/>
      <w:outlineLvl w:val="4"/>
    </w:pPr>
    <w:rPr>
      <w:color w:val="918585"/>
      <w:sz w:val="20"/>
    </w:rPr>
  </w:style>
  <w:style w:type="paragraph" w:styleId="Heading6">
    <w:name w:val="heading 6"/>
    <w:basedOn w:val="HeadingBase"/>
    <w:next w:val="Normal"/>
    <w:link w:val="Heading6Char"/>
    <w:qFormat/>
    <w:rsid w:val="00B2275C"/>
    <w:pPr>
      <w:spacing w:before="60"/>
      <w:outlineLvl w:val="5"/>
    </w:pPr>
    <w:rPr>
      <w:color w:val="918585"/>
      <w:sz w:val="20"/>
    </w:rPr>
  </w:style>
  <w:style w:type="paragraph" w:styleId="Heading7">
    <w:name w:val="heading 7"/>
    <w:basedOn w:val="Normal"/>
    <w:next w:val="Normal"/>
    <w:link w:val="Heading7Char"/>
    <w:qFormat/>
    <w:rsid w:val="00B2275C"/>
    <w:pPr>
      <w:ind w:left="720"/>
      <w:outlineLvl w:val="6"/>
    </w:pPr>
    <w:rPr>
      <w:i/>
    </w:rPr>
  </w:style>
  <w:style w:type="paragraph" w:styleId="Heading8">
    <w:name w:val="heading 8"/>
    <w:basedOn w:val="Normal"/>
    <w:next w:val="Normal"/>
    <w:link w:val="Heading8Char"/>
    <w:qFormat/>
    <w:rsid w:val="00B2275C"/>
    <w:pPr>
      <w:ind w:left="720"/>
      <w:outlineLvl w:val="7"/>
    </w:pPr>
    <w:rPr>
      <w:i/>
    </w:rPr>
  </w:style>
  <w:style w:type="paragraph" w:styleId="Heading9">
    <w:name w:val="heading 9"/>
    <w:basedOn w:val="Normal"/>
    <w:next w:val="Normal"/>
    <w:link w:val="Heading9Char"/>
    <w:qFormat/>
    <w:rsid w:val="00B2275C"/>
    <w:pPr>
      <w:ind w:left="720"/>
      <w:outlineLvl w:val="8"/>
    </w:pPr>
    <w:rPr>
      <w:i/>
    </w:rPr>
  </w:style>
  <w:style w:type="character" w:default="1" w:styleId="DefaultParagraphFont">
    <w:name w:val="Default Paragraph Font"/>
    <w:uiPriority w:val="1"/>
    <w:unhideWhenUsed/>
    <w:rsid w:val="00B22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75C"/>
  </w:style>
  <w:style w:type="character" w:customStyle="1" w:styleId="Heading1Char">
    <w:name w:val="Heading 1 Char"/>
    <w:basedOn w:val="DefaultParagraphFont"/>
    <w:link w:val="Heading1"/>
    <w:rsid w:val="00B2275C"/>
    <w:rPr>
      <w:rFonts w:ascii="Times New Roman" w:eastAsia="Times New Roman" w:hAnsi="Times New Roman" w:cs="Times New Roman"/>
      <w:b/>
      <w:sz w:val="32"/>
      <w:szCs w:val="20"/>
      <w:lang w:eastAsia="en-US"/>
    </w:rPr>
  </w:style>
  <w:style w:type="paragraph" w:styleId="BodyText">
    <w:name w:val="Body Text"/>
    <w:basedOn w:val="Normal"/>
    <w:link w:val="BodyTextChar"/>
    <w:rsid w:val="00B22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75C"/>
    <w:rPr>
      <w:rFonts w:ascii="Times New Roman" w:eastAsia="Times New Roman" w:hAnsi="Times New Roman" w:cs="Times New Roman"/>
      <w:sz w:val="24"/>
      <w:lang w:eastAsia="en-US"/>
    </w:rPr>
  </w:style>
  <w:style w:type="paragraph" w:styleId="ListBullet">
    <w:name w:val="List Bullet"/>
    <w:basedOn w:val="List"/>
    <w:rsid w:val="00B2275C"/>
    <w:pPr>
      <w:numPr>
        <w:numId w:val="12"/>
      </w:numPr>
      <w:tabs>
        <w:tab w:val="clear" w:pos="340"/>
      </w:tabs>
      <w:spacing w:before="40" w:after="40"/>
    </w:pPr>
  </w:style>
  <w:style w:type="character" w:customStyle="1" w:styleId="SpecialBold">
    <w:name w:val="Special Bold"/>
    <w:basedOn w:val="DefaultParagraphFont"/>
    <w:rsid w:val="00B2275C"/>
    <w:rPr>
      <w:b/>
      <w:spacing w:val="0"/>
    </w:rPr>
  </w:style>
  <w:style w:type="paragraph" w:styleId="ListBullet2">
    <w:name w:val="List Bullet 2"/>
    <w:basedOn w:val="List2"/>
    <w:rsid w:val="00B2275C"/>
    <w:pPr>
      <w:numPr>
        <w:numId w:val="13"/>
      </w:numPr>
      <w:tabs>
        <w:tab w:val="clear" w:pos="680"/>
      </w:tabs>
    </w:pPr>
  </w:style>
  <w:style w:type="paragraph" w:customStyle="1" w:styleId="SuperHeading">
    <w:name w:val="SuperHeading"/>
    <w:basedOn w:val="Normal"/>
    <w:rsid w:val="00B2275C"/>
    <w:pPr>
      <w:spacing w:before="240" w:after="120"/>
      <w:outlineLvl w:val="0"/>
    </w:pPr>
    <w:rPr>
      <w:rFonts w:ascii="Times New Roman" w:hAnsi="Times New Roman"/>
      <w:b/>
      <w:sz w:val="32"/>
    </w:rPr>
  </w:style>
  <w:style w:type="paragraph" w:customStyle="1" w:styleId="AllowPageBreak">
    <w:name w:val="AllowPageBreak"/>
    <w:rsid w:val="00B22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75C"/>
    <w:rPr>
      <w:rFonts w:ascii="Courier New" w:eastAsia="Times New Roman" w:hAnsi="Courier New" w:cs="Times New Roman"/>
      <w:i/>
      <w:szCs w:val="20"/>
      <w:lang w:eastAsia="en-US"/>
    </w:rPr>
  </w:style>
  <w:style w:type="paragraph" w:customStyle="1" w:styleId="HeadingBase">
    <w:name w:val="Heading Base"/>
    <w:rsid w:val="00B22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75C"/>
    <w:pPr>
      <w:tabs>
        <w:tab w:val="right" w:leader="dot" w:pos="9072"/>
      </w:tabs>
      <w:ind w:left="567"/>
    </w:pPr>
    <w:rPr>
      <w:szCs w:val="22"/>
    </w:rPr>
  </w:style>
  <w:style w:type="paragraph" w:customStyle="1" w:styleId="TOCBase">
    <w:name w:val="TOC Base"/>
    <w:rsid w:val="00B22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75C"/>
    <w:pPr>
      <w:tabs>
        <w:tab w:val="right" w:leader="dot" w:pos="9072"/>
      </w:tabs>
      <w:spacing w:before="40" w:after="40"/>
      <w:ind w:left="284"/>
    </w:pPr>
    <w:rPr>
      <w:rFonts w:ascii="Times New Roman" w:hAnsi="Times New Roman"/>
    </w:rPr>
  </w:style>
  <w:style w:type="paragraph" w:styleId="TOC1">
    <w:name w:val="toc 1"/>
    <w:basedOn w:val="TOCBase"/>
    <w:next w:val="Normal"/>
    <w:rsid w:val="00B22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75C"/>
    <w:rPr>
      <w:rFonts w:ascii="Times New Roman" w:eastAsia="Times New Roman" w:hAnsi="Times New Roman" w:cs="Times New Roman"/>
      <w:sz w:val="16"/>
      <w:lang w:eastAsia="en-US"/>
    </w:rPr>
  </w:style>
  <w:style w:type="paragraph" w:styleId="Title">
    <w:name w:val="Title"/>
    <w:basedOn w:val="HeadingBase"/>
    <w:link w:val="TitleChar"/>
    <w:qFormat/>
    <w:rsid w:val="00B2275C"/>
    <w:pPr>
      <w:spacing w:before="5040"/>
      <w:jc w:val="center"/>
    </w:pPr>
    <w:rPr>
      <w:sz w:val="48"/>
      <w:szCs w:val="72"/>
      <w:lang w:val="en-US"/>
    </w:rPr>
  </w:style>
  <w:style w:type="character" w:customStyle="1" w:styleId="TitleChar">
    <w:name w:val="Title Char"/>
    <w:basedOn w:val="DefaultParagraphFont"/>
    <w:link w:val="Title"/>
    <w:rsid w:val="00B22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75C"/>
    <w:pPr>
      <w:tabs>
        <w:tab w:val="left" w:pos="3600"/>
        <w:tab w:val="left" w:pos="3958"/>
      </w:tabs>
    </w:pPr>
  </w:style>
  <w:style w:type="paragraph" w:styleId="List">
    <w:name w:val="List"/>
    <w:basedOn w:val="BodyText"/>
    <w:next w:val="BodyText"/>
    <w:rsid w:val="00B2275C"/>
    <w:pPr>
      <w:tabs>
        <w:tab w:val="left" w:pos="340"/>
      </w:tabs>
      <w:spacing w:before="60" w:after="60"/>
      <w:ind w:left="340" w:hanging="340"/>
    </w:pPr>
  </w:style>
  <w:style w:type="paragraph" w:customStyle="1" w:styleId="Note">
    <w:name w:val="Note"/>
    <w:basedOn w:val="BodyText"/>
    <w:rsid w:val="00B22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75C"/>
    <w:pPr>
      <w:framePr w:wrap="auto" w:hAnchor="text" w:y="6049"/>
    </w:pPr>
    <w:rPr>
      <w:color w:val="000000"/>
      <w:sz w:val="40"/>
    </w:rPr>
  </w:style>
  <w:style w:type="paragraph" w:customStyle="1" w:styleId="TOCTitle">
    <w:name w:val="TOCTitle"/>
    <w:basedOn w:val="Heading1"/>
    <w:rsid w:val="00B2275C"/>
    <w:pPr>
      <w:spacing w:after="240"/>
      <w:jc w:val="center"/>
      <w:outlineLvl w:val="9"/>
    </w:pPr>
    <w:rPr>
      <w:caps/>
    </w:rPr>
  </w:style>
  <w:style w:type="paragraph" w:customStyle="1" w:styleId="Version">
    <w:name w:val="Version"/>
    <w:rsid w:val="00B22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75C"/>
    <w:pPr>
      <w:keepNext w:val="0"/>
      <w:tabs>
        <w:tab w:val="right" w:pos="4176"/>
      </w:tabs>
      <w:ind w:left="198" w:hanging="198"/>
    </w:pPr>
    <w:rPr>
      <w:rFonts w:ascii="Garamond" w:hAnsi="Garamond"/>
    </w:rPr>
  </w:style>
  <w:style w:type="paragraph" w:styleId="IndexHeading">
    <w:name w:val="index heading"/>
    <w:basedOn w:val="Normal"/>
    <w:next w:val="Index1"/>
    <w:semiHidden/>
    <w:rsid w:val="00B2275C"/>
    <w:pPr>
      <w:spacing w:before="120" w:after="120"/>
    </w:pPr>
    <w:rPr>
      <w:rFonts w:ascii="Arial" w:hAnsi="Arial"/>
      <w:b/>
      <w:color w:val="918585"/>
      <w:sz w:val="24"/>
    </w:rPr>
  </w:style>
  <w:style w:type="paragraph" w:styleId="Header">
    <w:name w:val="header"/>
    <w:basedOn w:val="Normal"/>
    <w:link w:val="HeaderChar"/>
    <w:rsid w:val="00B22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75C"/>
    <w:rPr>
      <w:rFonts w:ascii="Times New Roman" w:eastAsia="Times New Roman" w:hAnsi="Times New Roman" w:cs="Times New Roman"/>
      <w:sz w:val="16"/>
      <w:szCs w:val="20"/>
      <w:lang w:val="en-GB" w:eastAsia="en-US"/>
    </w:rPr>
  </w:style>
  <w:style w:type="paragraph" w:customStyle="1" w:styleId="Chapter">
    <w:name w:val="Chapter"/>
    <w:basedOn w:val="Normal"/>
    <w:rsid w:val="00B2275C"/>
    <w:pPr>
      <w:spacing w:before="240"/>
    </w:pPr>
    <w:rPr>
      <w:rFonts w:ascii="Times New Roman" w:hAnsi="Times New Roman"/>
      <w:smallCaps/>
      <w:spacing w:val="80"/>
      <w:sz w:val="28"/>
    </w:rPr>
  </w:style>
  <w:style w:type="paragraph" w:customStyle="1" w:styleId="InChapter">
    <w:name w:val="InChapter"/>
    <w:basedOn w:val="Heading3"/>
    <w:rsid w:val="00B2275C"/>
    <w:pPr>
      <w:spacing w:after="240"/>
      <w:outlineLvl w:val="9"/>
    </w:pPr>
    <w:rPr>
      <w:noProof/>
    </w:rPr>
  </w:style>
  <w:style w:type="paragraph" w:styleId="Index2">
    <w:name w:val="index 2"/>
    <w:basedOn w:val="Normal"/>
    <w:next w:val="Normal"/>
    <w:semiHidden/>
    <w:rsid w:val="00B2275C"/>
    <w:pPr>
      <w:tabs>
        <w:tab w:val="right" w:pos="4176"/>
      </w:tabs>
      <w:ind w:left="568" w:hanging="284"/>
    </w:pPr>
    <w:rPr>
      <w:rFonts w:ascii="Garamond" w:hAnsi="Garamond"/>
    </w:rPr>
  </w:style>
  <w:style w:type="paragraph" w:customStyle="1" w:styleId="Byline">
    <w:name w:val="Byline"/>
    <w:rsid w:val="00B22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75C"/>
    <w:pPr>
      <w:tabs>
        <w:tab w:val="clear" w:pos="3600"/>
        <w:tab w:val="clear" w:pos="3958"/>
      </w:tabs>
      <w:jc w:val="right"/>
    </w:pPr>
  </w:style>
  <w:style w:type="character" w:styleId="Emphasis">
    <w:name w:val="Emphasis"/>
    <w:basedOn w:val="DefaultParagraphFont"/>
    <w:qFormat/>
    <w:rsid w:val="00B2275C"/>
    <w:rPr>
      <w:i/>
    </w:rPr>
  </w:style>
  <w:style w:type="paragraph" w:styleId="Caption">
    <w:name w:val="caption"/>
    <w:basedOn w:val="BodyText"/>
    <w:next w:val="Normal"/>
    <w:qFormat/>
    <w:rsid w:val="00B2275C"/>
    <w:pPr>
      <w:framePr w:w="2268" w:hSpace="181" w:vSpace="181" w:wrap="around" w:vAnchor="text" w:hAnchor="page" w:x="1135" w:y="285" w:anchorLock="1"/>
    </w:pPr>
    <w:rPr>
      <w:i/>
    </w:rPr>
  </w:style>
  <w:style w:type="paragraph" w:customStyle="1" w:styleId="MiniTOCTitle">
    <w:name w:val="MiniTOCTitle"/>
    <w:basedOn w:val="Heading4"/>
    <w:rsid w:val="00B2275C"/>
    <w:pPr>
      <w:spacing w:before="240"/>
      <w:outlineLvl w:val="9"/>
    </w:pPr>
    <w:rPr>
      <w:noProof/>
      <w:sz w:val="24"/>
    </w:rPr>
  </w:style>
  <w:style w:type="paragraph" w:customStyle="1" w:styleId="MiniTOCItem">
    <w:name w:val="MiniTOCItem"/>
    <w:basedOn w:val="ListBullet"/>
    <w:rsid w:val="00B2275C"/>
    <w:pPr>
      <w:numPr>
        <w:numId w:val="0"/>
      </w:numPr>
      <w:tabs>
        <w:tab w:val="right" w:leader="dot" w:pos="6521"/>
      </w:tabs>
      <w:spacing w:before="0" w:after="0"/>
    </w:pPr>
  </w:style>
  <w:style w:type="paragraph" w:customStyle="1" w:styleId="TOFTitle">
    <w:name w:val="TOFTitle"/>
    <w:basedOn w:val="TOCTitle"/>
    <w:rsid w:val="00B2275C"/>
  </w:style>
  <w:style w:type="paragraph" w:styleId="TableofFigures">
    <w:name w:val="table of figures"/>
    <w:basedOn w:val="Normal"/>
    <w:next w:val="Normal"/>
    <w:semiHidden/>
    <w:rsid w:val="00B2275C"/>
    <w:pPr>
      <w:tabs>
        <w:tab w:val="right" w:leader="dot" w:pos="9072"/>
      </w:tabs>
      <w:ind w:left="970" w:hanging="403"/>
    </w:pPr>
    <w:rPr>
      <w:rFonts w:ascii="Times New Roman" w:hAnsi="Times New Roman"/>
      <w:b/>
    </w:rPr>
  </w:style>
  <w:style w:type="paragraph" w:styleId="ListNumber">
    <w:name w:val="List Number"/>
    <w:basedOn w:val="List"/>
    <w:rsid w:val="00B2275C"/>
    <w:pPr>
      <w:numPr>
        <w:numId w:val="15"/>
      </w:numPr>
      <w:tabs>
        <w:tab w:val="clear" w:pos="340"/>
      </w:tabs>
    </w:pPr>
  </w:style>
  <w:style w:type="character" w:customStyle="1" w:styleId="WingdingSymbols">
    <w:name w:val="Wingding Symbols"/>
    <w:rsid w:val="00B2275C"/>
    <w:rPr>
      <w:rFonts w:ascii="Wingdings" w:hAnsi="Wingdings"/>
    </w:rPr>
  </w:style>
  <w:style w:type="paragraph" w:customStyle="1" w:styleId="TableHeading">
    <w:name w:val="Table Heading"/>
    <w:basedOn w:val="HeadingBase"/>
    <w:rsid w:val="00B2275C"/>
    <w:pPr>
      <w:keepLines/>
      <w:pBdr>
        <w:bottom w:val="single" w:sz="6" w:space="1" w:color="918585"/>
      </w:pBdr>
      <w:spacing w:before="240"/>
    </w:pPr>
  </w:style>
  <w:style w:type="character" w:customStyle="1" w:styleId="HotSpot">
    <w:name w:val="HotSpot"/>
    <w:rsid w:val="00B2275C"/>
    <w:rPr>
      <w:color w:val="0033CC"/>
      <w:u w:val="none"/>
    </w:rPr>
  </w:style>
  <w:style w:type="paragraph" w:customStyle="1" w:styleId="BodyTextRight">
    <w:name w:val="Body Text Right"/>
    <w:basedOn w:val="BodyText"/>
    <w:rsid w:val="00B2275C"/>
    <w:pPr>
      <w:spacing w:before="0" w:after="0"/>
      <w:jc w:val="right"/>
    </w:pPr>
  </w:style>
  <w:style w:type="paragraph" w:styleId="Index3">
    <w:name w:val="index 3"/>
    <w:basedOn w:val="ListNumber2"/>
    <w:next w:val="Normal"/>
    <w:semiHidden/>
    <w:rsid w:val="00B2275C"/>
    <w:pPr>
      <w:numPr>
        <w:numId w:val="0"/>
      </w:numPr>
      <w:tabs>
        <w:tab w:val="right" w:leader="dot" w:pos="4176"/>
      </w:tabs>
    </w:pPr>
  </w:style>
  <w:style w:type="paragraph" w:styleId="ListNumber2">
    <w:name w:val="List Number 2"/>
    <w:basedOn w:val="List2"/>
    <w:rsid w:val="00B2275C"/>
    <w:pPr>
      <w:numPr>
        <w:numId w:val="10"/>
      </w:numPr>
      <w:tabs>
        <w:tab w:val="clear" w:pos="1060"/>
      </w:tabs>
    </w:pPr>
  </w:style>
  <w:style w:type="paragraph" w:customStyle="1" w:styleId="MarginNote">
    <w:name w:val="Margin Note"/>
    <w:basedOn w:val="BodyText"/>
    <w:rsid w:val="00B22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75C"/>
    <w:rPr>
      <w:sz w:val="32"/>
    </w:rPr>
  </w:style>
  <w:style w:type="paragraph" w:customStyle="1" w:styleId="HeadingProcedure">
    <w:name w:val="Heading Procedure"/>
    <w:basedOn w:val="HeadingBase"/>
    <w:next w:val="Normal"/>
    <w:rsid w:val="00B2275C"/>
    <w:pPr>
      <w:tabs>
        <w:tab w:val="left" w:pos="0"/>
      </w:tabs>
      <w:spacing w:before="120" w:after="60"/>
    </w:pPr>
    <w:rPr>
      <w:i/>
      <w:color w:val="918585"/>
      <w:sz w:val="22"/>
    </w:rPr>
  </w:style>
  <w:style w:type="paragraph" w:customStyle="1" w:styleId="TableBodyText">
    <w:name w:val="Table Body Text"/>
    <w:basedOn w:val="BodyText"/>
    <w:rsid w:val="00B2275C"/>
    <w:pPr>
      <w:spacing w:before="60" w:after="60"/>
    </w:pPr>
  </w:style>
  <w:style w:type="paragraph" w:styleId="ListContinue">
    <w:name w:val="List Continue"/>
    <w:basedOn w:val="List"/>
    <w:rsid w:val="00B2275C"/>
    <w:pPr>
      <w:ind w:firstLine="0"/>
    </w:pPr>
  </w:style>
  <w:style w:type="paragraph" w:customStyle="1" w:styleId="ListNote">
    <w:name w:val="List Note"/>
    <w:basedOn w:val="List"/>
    <w:rsid w:val="00B2275C"/>
    <w:pPr>
      <w:pBdr>
        <w:top w:val="single" w:sz="6" w:space="2" w:color="918585"/>
        <w:bottom w:val="single" w:sz="6" w:space="2" w:color="918585"/>
      </w:pBdr>
      <w:tabs>
        <w:tab w:val="left" w:pos="1021"/>
      </w:tabs>
      <w:ind w:firstLine="0"/>
    </w:pPr>
  </w:style>
  <w:style w:type="paragraph" w:customStyle="1" w:styleId="Warning">
    <w:name w:val="Warning"/>
    <w:basedOn w:val="BodyText"/>
    <w:rsid w:val="00B2275C"/>
    <w:pPr>
      <w:shd w:val="clear" w:color="auto" w:fill="D9D9D9"/>
      <w:tabs>
        <w:tab w:val="left" w:pos="992"/>
      </w:tabs>
      <w:ind w:left="119" w:right="119"/>
    </w:pPr>
    <w:rPr>
      <w:sz w:val="20"/>
    </w:rPr>
  </w:style>
  <w:style w:type="paragraph" w:customStyle="1" w:styleId="MarginIcons">
    <w:name w:val="Margin Icons"/>
    <w:basedOn w:val="BodyText"/>
    <w:rsid w:val="00B22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75C"/>
    <w:rPr>
      <w:rFonts w:ascii="Courier New" w:hAnsi="Courier New"/>
    </w:rPr>
  </w:style>
  <w:style w:type="paragraph" w:customStyle="1" w:styleId="NoteBullet">
    <w:name w:val="Note Bullet"/>
    <w:basedOn w:val="Note"/>
    <w:rsid w:val="00B2275C"/>
    <w:pPr>
      <w:tabs>
        <w:tab w:val="clear" w:pos="680"/>
      </w:tabs>
      <w:spacing w:before="60" w:after="60"/>
    </w:pPr>
  </w:style>
  <w:style w:type="paragraph" w:customStyle="1" w:styleId="SubHeading2">
    <w:name w:val="SubHeading2"/>
    <w:basedOn w:val="HeadingBase"/>
    <w:rsid w:val="00B2275C"/>
    <w:pPr>
      <w:spacing w:before="240" w:after="60"/>
    </w:pPr>
    <w:rPr>
      <w:sz w:val="20"/>
    </w:rPr>
  </w:style>
  <w:style w:type="paragraph" w:customStyle="1" w:styleId="SubHeading1">
    <w:name w:val="SubHeading1"/>
    <w:basedOn w:val="HeadingBase"/>
    <w:rsid w:val="00B2275C"/>
    <w:pPr>
      <w:spacing w:before="240" w:after="60"/>
    </w:pPr>
    <w:rPr>
      <w:color w:val="918585"/>
      <w:sz w:val="22"/>
    </w:rPr>
  </w:style>
  <w:style w:type="paragraph" w:customStyle="1" w:styleId="SideHeading">
    <w:name w:val="Side Heading"/>
    <w:basedOn w:val="HeadingBase"/>
    <w:rsid w:val="00B22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75C"/>
    <w:pPr>
      <w:tabs>
        <w:tab w:val="num" w:pos="360"/>
      </w:tabs>
    </w:pPr>
  </w:style>
  <w:style w:type="paragraph" w:styleId="PlainText">
    <w:name w:val="Plain Text"/>
    <w:basedOn w:val="Normal"/>
    <w:link w:val="PlainTextChar"/>
    <w:rsid w:val="00B2275C"/>
    <w:rPr>
      <w:sz w:val="20"/>
    </w:rPr>
  </w:style>
  <w:style w:type="character" w:customStyle="1" w:styleId="PlainTextChar">
    <w:name w:val="Plain Text Char"/>
    <w:basedOn w:val="DefaultParagraphFont"/>
    <w:link w:val="PlainText"/>
    <w:rsid w:val="00B2275C"/>
    <w:rPr>
      <w:rFonts w:ascii="Courier New" w:eastAsia="Times New Roman" w:hAnsi="Courier New" w:cs="Times New Roman"/>
      <w:sz w:val="20"/>
      <w:szCs w:val="20"/>
      <w:lang w:eastAsia="en-US"/>
    </w:rPr>
  </w:style>
  <w:style w:type="character" w:customStyle="1" w:styleId="MenuOption">
    <w:name w:val="Menu Option"/>
    <w:basedOn w:val="DefaultParagraphFont"/>
    <w:rsid w:val="00B2275C"/>
    <w:rPr>
      <w:b/>
      <w:smallCaps/>
    </w:rPr>
  </w:style>
  <w:style w:type="paragraph" w:customStyle="1" w:styleId="TableListNumber">
    <w:name w:val="Table List Number"/>
    <w:basedOn w:val="ListNumber"/>
    <w:rsid w:val="00B2275C"/>
    <w:pPr>
      <w:numPr>
        <w:numId w:val="0"/>
      </w:numPr>
    </w:pPr>
  </w:style>
  <w:style w:type="paragraph" w:styleId="TOC4">
    <w:name w:val="toc 4"/>
    <w:basedOn w:val="TOCBase"/>
    <w:next w:val="Normal"/>
    <w:semiHidden/>
    <w:rsid w:val="00B2275C"/>
    <w:pPr>
      <w:tabs>
        <w:tab w:val="right" w:leader="dot" w:pos="9071"/>
      </w:tabs>
      <w:ind w:left="1701"/>
    </w:pPr>
  </w:style>
  <w:style w:type="paragraph" w:customStyle="1" w:styleId="ListAlpha">
    <w:name w:val="List Alpha"/>
    <w:basedOn w:val="List"/>
    <w:rsid w:val="00B2275C"/>
    <w:pPr>
      <w:numPr>
        <w:numId w:val="9"/>
      </w:numPr>
    </w:pPr>
  </w:style>
  <w:style w:type="paragraph" w:customStyle="1" w:styleId="ListAlpha2">
    <w:name w:val="List Alpha 2"/>
    <w:basedOn w:val="List2"/>
    <w:rsid w:val="00B2275C"/>
    <w:pPr>
      <w:numPr>
        <w:numId w:val="8"/>
      </w:numPr>
    </w:pPr>
  </w:style>
  <w:style w:type="paragraph" w:styleId="List2">
    <w:name w:val="List 2"/>
    <w:basedOn w:val="BodyText"/>
    <w:rsid w:val="00B2275C"/>
    <w:pPr>
      <w:tabs>
        <w:tab w:val="left" w:pos="680"/>
      </w:tabs>
      <w:spacing w:before="60" w:after="60"/>
      <w:ind w:left="680" w:hanging="340"/>
    </w:pPr>
  </w:style>
  <w:style w:type="paragraph" w:styleId="List3">
    <w:name w:val="List 3"/>
    <w:basedOn w:val="BodyText"/>
    <w:rsid w:val="00B2275C"/>
    <w:pPr>
      <w:tabs>
        <w:tab w:val="left" w:pos="1021"/>
      </w:tabs>
      <w:spacing w:before="60" w:after="60"/>
      <w:ind w:left="1020" w:hanging="340"/>
    </w:pPr>
  </w:style>
  <w:style w:type="paragraph" w:styleId="List4">
    <w:name w:val="List 4"/>
    <w:basedOn w:val="BodyText"/>
    <w:rsid w:val="00B2275C"/>
    <w:pPr>
      <w:tabs>
        <w:tab w:val="left" w:pos="1361"/>
      </w:tabs>
      <w:spacing w:before="60" w:after="60"/>
      <w:ind w:left="1361" w:hanging="340"/>
    </w:pPr>
  </w:style>
  <w:style w:type="paragraph" w:styleId="List5">
    <w:name w:val="List 5"/>
    <w:basedOn w:val="BodyText"/>
    <w:rsid w:val="00B2275C"/>
    <w:pPr>
      <w:tabs>
        <w:tab w:val="left" w:pos="1701"/>
      </w:tabs>
      <w:spacing w:before="60" w:after="60"/>
      <w:ind w:left="1701" w:hanging="340"/>
    </w:pPr>
  </w:style>
  <w:style w:type="paragraph" w:styleId="ListBullet3">
    <w:name w:val="List Bullet 3"/>
    <w:basedOn w:val="List3"/>
    <w:rsid w:val="00B2275C"/>
    <w:pPr>
      <w:numPr>
        <w:numId w:val="14"/>
      </w:numPr>
      <w:tabs>
        <w:tab w:val="clear" w:pos="1021"/>
      </w:tabs>
      <w:ind w:left="1037" w:hanging="357"/>
    </w:pPr>
  </w:style>
  <w:style w:type="paragraph" w:styleId="ListBullet4">
    <w:name w:val="List Bullet 4"/>
    <w:basedOn w:val="List4"/>
    <w:rsid w:val="00B2275C"/>
    <w:pPr>
      <w:numPr>
        <w:numId w:val="3"/>
      </w:numPr>
      <w:tabs>
        <w:tab w:val="clear" w:pos="1361"/>
      </w:tabs>
    </w:pPr>
  </w:style>
  <w:style w:type="paragraph" w:styleId="ListBullet5">
    <w:name w:val="List Bullet 5"/>
    <w:basedOn w:val="List5"/>
    <w:rsid w:val="00B2275C"/>
    <w:pPr>
      <w:numPr>
        <w:numId w:val="4"/>
      </w:numPr>
    </w:pPr>
  </w:style>
  <w:style w:type="paragraph" w:styleId="ListContinue2">
    <w:name w:val="List Continue 2"/>
    <w:basedOn w:val="List2"/>
    <w:rsid w:val="00B2275C"/>
    <w:pPr>
      <w:ind w:firstLine="0"/>
    </w:pPr>
  </w:style>
  <w:style w:type="paragraph" w:styleId="ListContinue3">
    <w:name w:val="List Continue 3"/>
    <w:basedOn w:val="List3"/>
    <w:rsid w:val="00B2275C"/>
    <w:pPr>
      <w:ind w:left="1021" w:firstLine="0"/>
    </w:pPr>
  </w:style>
  <w:style w:type="paragraph" w:styleId="ListContinue4">
    <w:name w:val="List Continue 4"/>
    <w:basedOn w:val="List4"/>
    <w:rsid w:val="00B2275C"/>
    <w:pPr>
      <w:ind w:firstLine="0"/>
    </w:pPr>
  </w:style>
  <w:style w:type="paragraph" w:styleId="ListContinue5">
    <w:name w:val="List Continue 5"/>
    <w:basedOn w:val="List5"/>
    <w:rsid w:val="00B2275C"/>
    <w:pPr>
      <w:ind w:firstLine="0"/>
    </w:pPr>
  </w:style>
  <w:style w:type="paragraph" w:styleId="ListNumber3">
    <w:name w:val="List Number 3"/>
    <w:basedOn w:val="List3"/>
    <w:rsid w:val="00B2275C"/>
    <w:pPr>
      <w:numPr>
        <w:numId w:val="5"/>
      </w:numPr>
    </w:pPr>
  </w:style>
  <w:style w:type="paragraph" w:styleId="ListNumber4">
    <w:name w:val="List Number 4"/>
    <w:basedOn w:val="List4"/>
    <w:rsid w:val="00B2275C"/>
    <w:pPr>
      <w:numPr>
        <w:numId w:val="6"/>
      </w:numPr>
    </w:pPr>
  </w:style>
  <w:style w:type="paragraph" w:styleId="ListNumber5">
    <w:name w:val="List Number 5"/>
    <w:basedOn w:val="List5"/>
    <w:rsid w:val="00B2275C"/>
    <w:pPr>
      <w:numPr>
        <w:numId w:val="7"/>
      </w:numPr>
    </w:pPr>
  </w:style>
  <w:style w:type="paragraph" w:styleId="BlockText">
    <w:name w:val="Block Text"/>
    <w:basedOn w:val="Normal"/>
    <w:rsid w:val="00B2275C"/>
    <w:pPr>
      <w:spacing w:after="120"/>
      <w:ind w:left="1440" w:right="1440"/>
    </w:pPr>
  </w:style>
  <w:style w:type="character" w:customStyle="1" w:styleId="Subscript">
    <w:name w:val="Subscript"/>
    <w:basedOn w:val="DefaultParagraphFont"/>
    <w:rsid w:val="00B2275C"/>
    <w:rPr>
      <w:sz w:val="16"/>
      <w:vertAlign w:val="subscript"/>
    </w:rPr>
  </w:style>
  <w:style w:type="character" w:customStyle="1" w:styleId="Superscript">
    <w:name w:val="Superscript"/>
    <w:basedOn w:val="DefaultParagraphFont"/>
    <w:rsid w:val="00B2275C"/>
    <w:rPr>
      <w:sz w:val="16"/>
      <w:vertAlign w:val="superscript"/>
    </w:rPr>
  </w:style>
  <w:style w:type="character" w:customStyle="1" w:styleId="Symbols">
    <w:name w:val="Symbols"/>
    <w:basedOn w:val="DefaultParagraphFont"/>
    <w:rsid w:val="00B2275C"/>
    <w:rPr>
      <w:rFonts w:ascii="Symbol" w:hAnsi="Symbol"/>
    </w:rPr>
  </w:style>
  <w:style w:type="character" w:customStyle="1" w:styleId="MenuOptions">
    <w:name w:val="Menu Options"/>
    <w:basedOn w:val="DefaultParagraphFont"/>
    <w:rsid w:val="00B2275C"/>
    <w:rPr>
      <w:rFonts w:ascii="Arial Narrow" w:hAnsi="Arial Narrow"/>
      <w:smallCaps/>
    </w:rPr>
  </w:style>
  <w:style w:type="character" w:customStyle="1" w:styleId="Buttons">
    <w:name w:val="Buttons"/>
    <w:basedOn w:val="DefaultParagraphFont"/>
    <w:rsid w:val="00B2275C"/>
    <w:rPr>
      <w:b/>
    </w:rPr>
  </w:style>
  <w:style w:type="character" w:customStyle="1" w:styleId="Underlined">
    <w:name w:val="Underlined"/>
    <w:basedOn w:val="DefaultParagraphFont"/>
    <w:rsid w:val="00B2275C"/>
    <w:rPr>
      <w:u w:val="single"/>
    </w:rPr>
  </w:style>
  <w:style w:type="paragraph" w:customStyle="1" w:styleId="TableBodyTextRight">
    <w:name w:val="Table Body Text Right"/>
    <w:basedOn w:val="TableBodyText"/>
    <w:rsid w:val="00B2275C"/>
    <w:pPr>
      <w:widowControl w:val="0"/>
      <w:autoSpaceDE w:val="0"/>
      <w:autoSpaceDN w:val="0"/>
      <w:adjustRightInd w:val="0"/>
      <w:jc w:val="right"/>
    </w:pPr>
    <w:rPr>
      <w:rFonts w:cs="Arial"/>
      <w:szCs w:val="18"/>
    </w:rPr>
  </w:style>
  <w:style w:type="paragraph" w:customStyle="1" w:styleId="CopyrightText">
    <w:name w:val="Copyright Text"/>
    <w:basedOn w:val="BodyText"/>
    <w:rsid w:val="00B2275C"/>
    <w:rPr>
      <w:sz w:val="18"/>
    </w:rPr>
  </w:style>
  <w:style w:type="paragraph" w:customStyle="1" w:styleId="BodySmallRight">
    <w:name w:val="Body Small Right"/>
    <w:basedOn w:val="BodyTextRight"/>
    <w:rsid w:val="00B2275C"/>
    <w:rPr>
      <w:sz w:val="18"/>
      <w:szCs w:val="18"/>
    </w:rPr>
  </w:style>
  <w:style w:type="paragraph" w:customStyle="1" w:styleId="MarginEdition">
    <w:name w:val="Margin Edition"/>
    <w:basedOn w:val="MarginNote"/>
    <w:rsid w:val="00B2275C"/>
    <w:pPr>
      <w:spacing w:before="0" w:after="0"/>
    </w:pPr>
    <w:rPr>
      <w:rFonts w:ascii="Times New Roman" w:hAnsi="Times New Roman"/>
      <w:color w:val="999999"/>
    </w:rPr>
  </w:style>
  <w:style w:type="paragraph" w:customStyle="1" w:styleId="Spacer">
    <w:name w:val="Spacer"/>
    <w:basedOn w:val="Normal"/>
    <w:rsid w:val="00B2275C"/>
    <w:rPr>
      <w:sz w:val="2"/>
      <w:szCs w:val="2"/>
    </w:rPr>
  </w:style>
  <w:style w:type="character" w:customStyle="1" w:styleId="Small">
    <w:name w:val="Small"/>
    <w:basedOn w:val="DefaultParagraphFont"/>
    <w:rsid w:val="00B2275C"/>
    <w:rPr>
      <w:sz w:val="16"/>
    </w:rPr>
  </w:style>
  <w:style w:type="paragraph" w:customStyle="1" w:styleId="WideTable">
    <w:name w:val="Wide Table"/>
    <w:basedOn w:val="Normal"/>
    <w:rsid w:val="00B2275C"/>
    <w:pPr>
      <w:ind w:left="-1418"/>
    </w:pPr>
    <w:rPr>
      <w:sz w:val="2"/>
      <w:szCs w:val="2"/>
    </w:rPr>
  </w:style>
  <w:style w:type="character" w:styleId="PageNumber">
    <w:name w:val="page number"/>
    <w:basedOn w:val="DefaultParagraphFont"/>
    <w:rsid w:val="00B2275C"/>
  </w:style>
  <w:style w:type="paragraph" w:styleId="Quote">
    <w:name w:val="Quote"/>
    <w:basedOn w:val="Heading1"/>
    <w:link w:val="QuoteChar"/>
    <w:qFormat/>
    <w:rsid w:val="00B2275C"/>
    <w:rPr>
      <w:b w:val="0"/>
      <w:sz w:val="72"/>
      <w:szCs w:val="72"/>
      <w:lang w:val="en-NZ"/>
    </w:rPr>
  </w:style>
  <w:style w:type="character" w:customStyle="1" w:styleId="QuoteChar">
    <w:name w:val="Quote Char"/>
    <w:basedOn w:val="DefaultParagraphFont"/>
    <w:link w:val="Quote"/>
    <w:rsid w:val="00B22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75C"/>
    <w:pPr>
      <w:pageBreakBefore/>
    </w:pPr>
  </w:style>
  <w:style w:type="paragraph" w:customStyle="1" w:styleId="Border">
    <w:name w:val="Border"/>
    <w:basedOn w:val="Normal"/>
    <w:qFormat/>
    <w:rsid w:val="00B22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75C"/>
    <w:rPr>
      <w:b/>
      <w:bCs/>
      <w:i/>
      <w:iCs/>
      <w:color w:val="auto"/>
    </w:rPr>
  </w:style>
  <w:style w:type="paragraph" w:styleId="IntenseQuote">
    <w:name w:val="Intense Quote"/>
    <w:basedOn w:val="Normal"/>
    <w:next w:val="Normal"/>
    <w:link w:val="IntenseQuoteChar"/>
    <w:uiPriority w:val="30"/>
    <w:qFormat/>
    <w:rsid w:val="00B22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75C"/>
    <w:rPr>
      <w:smallCaps/>
      <w:color w:val="auto"/>
      <w:u w:val="single"/>
    </w:rPr>
  </w:style>
  <w:style w:type="character" w:styleId="IntenseReference">
    <w:name w:val="Intense Reference"/>
    <w:basedOn w:val="DefaultParagraphFont"/>
    <w:uiPriority w:val="32"/>
    <w:qFormat/>
    <w:rsid w:val="00B2275C"/>
    <w:rPr>
      <w:b/>
      <w:bCs/>
      <w:smallCaps/>
      <w:color w:val="auto"/>
      <w:spacing w:val="5"/>
      <w:u w:val="single"/>
    </w:rPr>
  </w:style>
  <w:style w:type="paragraph" w:customStyle="1" w:styleId="2ColumnHeading">
    <w:name w:val="2Column Heading"/>
    <w:basedOn w:val="BodyText"/>
    <w:qFormat/>
    <w:rsid w:val="00B2275C"/>
    <w:pPr>
      <w:spacing w:after="60"/>
      <w:ind w:left="-2268"/>
    </w:pPr>
    <w:rPr>
      <w:b/>
    </w:rPr>
  </w:style>
  <w:style w:type="paragraph" w:customStyle="1" w:styleId="Heading1TOC">
    <w:name w:val="Heading1 TOC"/>
    <w:basedOn w:val="Normal"/>
    <w:qFormat/>
    <w:rsid w:val="00B2275C"/>
    <w:pPr>
      <w:spacing w:before="240" w:after="120"/>
    </w:pPr>
    <w:rPr>
      <w:rFonts w:ascii="Times New Roman" w:hAnsi="Times New Roman"/>
      <w:b/>
      <w:sz w:val="32"/>
    </w:rPr>
  </w:style>
  <w:style w:type="paragraph" w:customStyle="1" w:styleId="Heading2TOC">
    <w:name w:val="Heading2 TOC"/>
    <w:basedOn w:val="Normal"/>
    <w:qFormat/>
    <w:rsid w:val="00B2275C"/>
    <w:pPr>
      <w:spacing w:before="240" w:after="60"/>
    </w:pPr>
    <w:rPr>
      <w:rFonts w:ascii="Times New Roman" w:hAnsi="Times New Roman"/>
      <w:b/>
      <w:sz w:val="28"/>
    </w:rPr>
  </w:style>
  <w:style w:type="character" w:customStyle="1" w:styleId="Underline">
    <w:name w:val="Underline"/>
    <w:basedOn w:val="DefaultParagraphFont"/>
    <w:qFormat/>
    <w:rsid w:val="00B2275C"/>
    <w:rPr>
      <w:u w:val="single"/>
    </w:rPr>
  </w:style>
  <w:style w:type="character" w:customStyle="1" w:styleId="BoldandItalics">
    <w:name w:val="Bold and Italics"/>
    <w:qFormat/>
    <w:rsid w:val="00B2275C"/>
    <w:rPr>
      <w:b/>
      <w:i/>
      <w:u w:val="none"/>
    </w:rPr>
  </w:style>
  <w:style w:type="paragraph" w:styleId="BalloonText">
    <w:name w:val="Balloon Text"/>
    <w:basedOn w:val="Normal"/>
    <w:link w:val="BalloonTextChar"/>
    <w:rsid w:val="00B2275C"/>
    <w:rPr>
      <w:rFonts w:ascii="Tahoma" w:hAnsi="Tahoma" w:cs="Tahoma"/>
      <w:sz w:val="16"/>
      <w:szCs w:val="16"/>
    </w:rPr>
  </w:style>
  <w:style w:type="character" w:customStyle="1" w:styleId="BalloonTextChar">
    <w:name w:val="Balloon Text Char"/>
    <w:basedOn w:val="DefaultParagraphFont"/>
    <w:link w:val="BalloonText"/>
    <w:rsid w:val="00B22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75C"/>
    <w:rPr>
      <w:b/>
      <w:color w:val="660033"/>
      <w:spacing w:val="0"/>
    </w:rPr>
  </w:style>
  <w:style w:type="paragraph" w:customStyle="1" w:styleId="Nameditemlist">
    <w:name w:val="Named item list"/>
    <w:basedOn w:val="BodyText"/>
    <w:qFormat/>
    <w:rsid w:val="00B2275C"/>
    <w:pPr>
      <w:tabs>
        <w:tab w:val="left" w:pos="2835"/>
      </w:tabs>
      <w:ind w:left="2835" w:hanging="2835"/>
    </w:pPr>
  </w:style>
  <w:style w:type="paragraph" w:customStyle="1" w:styleId="BodyTextnopadding">
    <w:name w:val="Body Text no padding"/>
    <w:basedOn w:val="BodyText"/>
    <w:qFormat/>
    <w:rsid w:val="00B2275C"/>
    <w:pPr>
      <w:spacing w:before="0" w:after="0"/>
    </w:pPr>
  </w:style>
  <w:style w:type="paragraph" w:customStyle="1" w:styleId="BodyTextBold">
    <w:name w:val="Body Text Bold"/>
    <w:basedOn w:val="BodyText"/>
    <w:qFormat/>
    <w:rsid w:val="00B2275C"/>
    <w:rPr>
      <w:b/>
    </w:rPr>
  </w:style>
  <w:style w:type="character" w:styleId="Hyperlink">
    <w:name w:val="Hyperlink"/>
    <w:basedOn w:val="DefaultParagraphFont"/>
    <w:uiPriority w:val="99"/>
    <w:unhideWhenUsed/>
    <w:rsid w:val="00C45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7000</Characters>
  <Application>Microsoft Office Word</Application>
  <DocSecurity>0</DocSecurity>
  <Lines>175</Lines>
  <Paragraphs>104</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MSFGG4023 Plan and coordinate complex glazing installations</dc:title>
  <dc:subject>Approved</dc:subject>
  <dc:creator>Skills Insight</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