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86E" w:rsidP="00F72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MSFGG4017 Apply standards and codes of practice for the glass and glazing industry</w:t>
      </w:r>
      <w:r>
        <w:fldChar w:fldCharType="end"/>
      </w:r>
    </w:p>
    <w:p w:rsidR="00F7286E" w:rsidP="00F7286E">
      <w:pPr>
        <w:pStyle w:val="Version"/>
        <w:sectPr w:rsidSect="00F403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34E" w:rsidP="00F4034E">
      <w:pPr>
        <w:pStyle w:val="SuperHeading"/>
      </w:pPr>
      <w:r w:rsidRPr="00F4034E">
        <w:t>Assessment Requirements for MSFGG4017 Apply standards and codes of practice for the glass and glazing industry</w:t>
      </w:r>
    </w:p>
    <w:p w:rsidR="00000000" w:rsidRPr="00F4034E" w:rsidP="00F4034E">
      <w:pPr>
        <w:pStyle w:val="Heading1"/>
      </w:pPr>
      <w:bookmarkStart w:id="1" w:name="O_1263897"/>
      <w:bookmarkEnd w:id="1"/>
      <w:r w:rsidRPr="00F4034E">
        <w:t>Modification History</w:t>
      </w:r>
    </w:p>
    <w:p w:rsidR="00000000" w:rsidRPr="00F4034E" w:rsidP="00F7286E">
      <w:pPr>
        <w:pStyle w:val="BodyText"/>
      </w:pPr>
      <w:r w:rsidRPr="00F4034E">
        <w:t>Release 1. Supersedes and is equiv</w:t>
      </w:r>
      <w:r w:rsidRPr="00F4034E">
        <w:t xml:space="preserve">alent to MSFGG4009 Apply standards and codes of practice for the glass industry. Changes to title, application, elements, performance criteria and assessment requirements. </w:t>
      </w:r>
    </w:p>
    <w:p w:rsidR="00000000" w:rsidRPr="00F4034E" w:rsidP="00F4034E">
      <w:pPr>
        <w:pStyle w:val="Heading1"/>
      </w:pPr>
      <w:bookmarkStart w:id="2" w:name="O_1263898"/>
      <w:bookmarkEnd w:id="2"/>
      <w:r w:rsidRPr="00F4034E">
        <w:t>Performance Evidence</w:t>
      </w:r>
    </w:p>
    <w:p w:rsidR="00000000" w:rsidRPr="00F4034E" w:rsidP="00F7286E">
      <w:pPr>
        <w:pStyle w:val="BodyText"/>
      </w:pPr>
      <w:r w:rsidRPr="00F4034E">
        <w:t>There must be evidence the candidate has co</w:t>
      </w:r>
      <w:r w:rsidRPr="00F4034E">
        <w:t>mpleted the tasks in the elements and performance criteria of this unit of competency and has demonstrated the ability to:</w:t>
      </w:r>
    </w:p>
    <w:p w:rsidR="00000000" w:rsidRPr="00F4034E" w:rsidP="00F4034E">
      <w:pPr>
        <w:pStyle w:val="ListBullet"/>
      </w:pPr>
      <w:r w:rsidRPr="00F4034E">
        <w:t>assess requirements and develop documentation that complies with applicable codes of practice and all Australian Standards for one o</w:t>
      </w:r>
      <w:r w:rsidRPr="00F4034E">
        <w:t>r more jobs that individually or cumulatively involve glass and glazing for:</w:t>
      </w:r>
    </w:p>
    <w:p w:rsidR="00000000" w:rsidRPr="00F4034E" w:rsidP="00F4034E">
      <w:pPr>
        <w:pStyle w:val="ListBullet2"/>
      </w:pPr>
      <w:r w:rsidRPr="00F4034E">
        <w:t>a stairway</w:t>
      </w:r>
    </w:p>
    <w:p w:rsidR="00000000" w:rsidRPr="00F4034E" w:rsidP="00F4034E">
      <w:pPr>
        <w:pStyle w:val="ListBullet2"/>
      </w:pPr>
      <w:r w:rsidRPr="00F4034E">
        <w:t>a balustrade</w:t>
      </w:r>
    </w:p>
    <w:p w:rsidR="00000000" w:rsidRPr="00F4034E" w:rsidP="00F4034E">
      <w:pPr>
        <w:pStyle w:val="ListBullet2"/>
      </w:pPr>
      <w:r w:rsidRPr="00F4034E">
        <w:t>a sloped or overhead glass installation</w:t>
      </w:r>
    </w:p>
    <w:p w:rsidR="00000000" w:rsidRPr="00F4034E" w:rsidP="00F4034E">
      <w:pPr>
        <w:pStyle w:val="ListBullet2"/>
      </w:pPr>
      <w:r w:rsidRPr="00F4034E">
        <w:t>a 5-star rated building</w:t>
      </w:r>
    </w:p>
    <w:p w:rsidR="00000000" w:rsidRPr="00F4034E" w:rsidP="00F4034E">
      <w:pPr>
        <w:pStyle w:val="ListBullet2"/>
      </w:pPr>
      <w:r w:rsidRPr="00F4034E">
        <w:t>a fire-rated application</w:t>
      </w:r>
    </w:p>
    <w:p w:rsidR="00000000" w:rsidRPr="00F4034E" w:rsidP="00F4034E">
      <w:pPr>
        <w:pStyle w:val="ListBullet2"/>
      </w:pPr>
      <w:r w:rsidRPr="00F4034E">
        <w:t>a curtain wall and/or facade</w:t>
      </w:r>
    </w:p>
    <w:p w:rsidR="00000000" w:rsidRPr="00F4034E" w:rsidP="00F4034E">
      <w:pPr>
        <w:pStyle w:val="ListBullet2"/>
      </w:pPr>
      <w:r w:rsidRPr="00F4034E">
        <w:t>a partition.</w:t>
      </w:r>
    </w:p>
    <w:p w:rsidR="00000000" w:rsidRPr="00F4034E" w:rsidP="00F4034E">
      <w:pPr>
        <w:pStyle w:val="AllowPageBreak"/>
      </w:pPr>
    </w:p>
    <w:p w:rsidR="00000000" w:rsidRPr="00F4034E" w:rsidP="00F4034E">
      <w:pPr>
        <w:pStyle w:val="Heading1"/>
      </w:pPr>
      <w:bookmarkStart w:id="3" w:name="O_1263899"/>
      <w:bookmarkEnd w:id="3"/>
      <w:r w:rsidRPr="00F4034E">
        <w:t>Knowledge Evidence</w:t>
      </w:r>
    </w:p>
    <w:p w:rsidR="00000000" w:rsidRPr="00F4034E" w:rsidP="00F7286E">
      <w:pPr>
        <w:pStyle w:val="BodyText"/>
      </w:pPr>
      <w:r w:rsidRPr="00F4034E">
        <w:t>There must be evidence the candidate has knowledge of:</w:t>
      </w:r>
    </w:p>
    <w:p w:rsidR="00000000" w:rsidRPr="00F4034E" w:rsidP="00F4034E">
      <w:pPr>
        <w:pStyle w:val="ListBullet"/>
      </w:pPr>
      <w:r w:rsidRPr="00F4034E">
        <w:t>key aspects of:</w:t>
      </w:r>
    </w:p>
    <w:p w:rsidR="00000000" w:rsidRPr="00F4034E" w:rsidP="00F4034E">
      <w:pPr>
        <w:pStyle w:val="ListBullet2"/>
      </w:pPr>
      <w:r w:rsidRPr="00F4034E">
        <w:t>AS 1288: sections 6, 7 and 9</w:t>
      </w:r>
    </w:p>
    <w:p w:rsidR="00000000" w:rsidRPr="00F4034E" w:rsidP="00F4034E">
      <w:pPr>
        <w:pStyle w:val="ListBullet2"/>
      </w:pPr>
      <w:r w:rsidRPr="00F4034E">
        <w:t>AS/NZS 2208: all sections</w:t>
      </w:r>
    </w:p>
    <w:p w:rsidR="00000000" w:rsidRPr="00F4034E" w:rsidP="00F4034E">
      <w:pPr>
        <w:pStyle w:val="ListBullet2"/>
      </w:pPr>
      <w:r w:rsidRPr="00F4034E">
        <w:t>AS/NZS 1170: all sections</w:t>
      </w:r>
    </w:p>
    <w:p w:rsidR="00000000" w:rsidRPr="00F4034E" w:rsidP="00F4034E">
      <w:pPr>
        <w:pStyle w:val="ListBullet2"/>
      </w:pPr>
      <w:r w:rsidRPr="00F4034E">
        <w:t>AS/NZS 4667: all sections</w:t>
      </w:r>
    </w:p>
    <w:p w:rsidR="00000000" w:rsidRPr="00F4034E" w:rsidP="00F4034E">
      <w:pPr>
        <w:pStyle w:val="ListBullet2"/>
      </w:pPr>
      <w:r w:rsidRPr="00F4034E">
        <w:t>AS/NZS 4668: all sections</w:t>
      </w:r>
    </w:p>
    <w:p w:rsidR="00000000" w:rsidRPr="00F4034E" w:rsidP="00F4034E">
      <w:pPr>
        <w:pStyle w:val="ListBullet2"/>
      </w:pPr>
      <w:r w:rsidRPr="00F4034E">
        <w:t>AS1428.1 (design for access and</w:t>
      </w:r>
      <w:r w:rsidRPr="00F4034E">
        <w:t xml:space="preserve"> mobility)</w:t>
      </w:r>
    </w:p>
    <w:p w:rsidR="00000000" w:rsidRPr="00F4034E" w:rsidP="00F4034E">
      <w:pPr>
        <w:pStyle w:val="ListBullet2"/>
      </w:pPr>
      <w:r w:rsidRPr="00F4034E">
        <w:t>National Construction Code (NCC) and state and territory requirements relating to glass and glazing in buildings</w:t>
      </w:r>
    </w:p>
    <w:p w:rsidR="00000000" w:rsidRPr="00F4034E" w:rsidP="00F4034E">
      <w:pPr>
        <w:pStyle w:val="ListBullet"/>
      </w:pPr>
      <w:r w:rsidRPr="00F4034E">
        <w:t>workplace safety system requirements related to the handling and installation of glass and glazing products that affect the develop</w:t>
      </w:r>
      <w:r w:rsidRPr="00F4034E">
        <w:t>ment of specifications</w:t>
      </w:r>
    </w:p>
    <w:p w:rsidR="00000000" w:rsidRPr="00F4034E" w:rsidP="00F4034E">
      <w:pPr>
        <w:pStyle w:val="ListBullet"/>
      </w:pPr>
      <w:r w:rsidRPr="00F4034E">
        <w:t>types, characteristics, uses and limitations of types of glass potentially suitable for complex glass and glazing requirements, including relating to:</w:t>
      </w:r>
    </w:p>
    <w:p w:rsidR="00000000" w:rsidRPr="00F4034E" w:rsidP="00F4034E">
      <w:pPr>
        <w:pStyle w:val="ListBullet2"/>
      </w:pPr>
      <w:r w:rsidRPr="00F4034E">
        <w:t>aspect ratios</w:t>
      </w:r>
    </w:p>
    <w:p w:rsidR="00000000" w:rsidRPr="00F4034E" w:rsidP="00F4034E">
      <w:pPr>
        <w:pStyle w:val="ListBullet2"/>
      </w:pPr>
      <w:r w:rsidRPr="00F4034E">
        <w:t>energy efficiency</w:t>
      </w:r>
    </w:p>
    <w:p w:rsidR="00000000" w:rsidRPr="00F4034E" w:rsidP="00F4034E">
      <w:pPr>
        <w:pStyle w:val="ListBullet2"/>
      </w:pPr>
      <w:r w:rsidRPr="00F4034E">
        <w:t>installation methods</w:t>
      </w:r>
    </w:p>
    <w:p w:rsidR="00000000" w:rsidRPr="00F4034E" w:rsidP="00F4034E">
      <w:pPr>
        <w:pStyle w:val="ListBullet2"/>
      </w:pPr>
      <w:r w:rsidRPr="00F4034E">
        <w:t>tolerances</w:t>
      </w:r>
    </w:p>
    <w:p w:rsidR="00000000" w:rsidRPr="00F4034E" w:rsidP="00F4034E">
      <w:pPr>
        <w:pStyle w:val="ListBullet2"/>
      </w:pPr>
      <w:r w:rsidRPr="00F4034E">
        <w:t>wind loadings</w:t>
      </w:r>
    </w:p>
    <w:p w:rsidR="00000000" w:rsidRPr="00F4034E" w:rsidP="00F4034E">
      <w:pPr>
        <w:pStyle w:val="ListBullet"/>
      </w:pPr>
      <w:r w:rsidRPr="00F4034E">
        <w:t>current and emerging products, techniques and applications in glass and glazing, including those relating to energy efficiency, double glazing, thermally broken frames, acoustics and types of glass</w:t>
      </w:r>
    </w:p>
    <w:p w:rsidR="00000000" w:rsidRPr="00F4034E" w:rsidP="00F4034E">
      <w:pPr>
        <w:pStyle w:val="ListBullet"/>
      </w:pPr>
      <w:r w:rsidRPr="00F4034E">
        <w:t>sources of specialist glass and glazing technical advice</w:t>
      </w:r>
    </w:p>
    <w:p w:rsidR="00000000" w:rsidRPr="00F4034E" w:rsidP="00F4034E">
      <w:pPr>
        <w:pStyle w:val="ListBullet"/>
      </w:pPr>
      <w:r w:rsidRPr="00F4034E">
        <w:t>t</w:t>
      </w:r>
      <w:r w:rsidRPr="00F4034E">
        <w:t>he range of people and parties potentially involved in glass and glazing work and typical interactions required, including architects, builders, clients, engineers, product developers and/or suppliers and logistics personnel</w:t>
      </w:r>
    </w:p>
    <w:p w:rsidR="00000000" w:rsidRPr="00F4034E" w:rsidP="00F4034E">
      <w:pPr>
        <w:pStyle w:val="ListBullet"/>
      </w:pPr>
      <w:r w:rsidRPr="00F4034E">
        <w:t>the most common issues that can</w:t>
      </w:r>
      <w:r w:rsidRPr="00F4034E">
        <w:t xml:space="preserve"> arise when applying standards and codes of practice for the glass industry and how to avoid and respond to them</w:t>
      </w:r>
    </w:p>
    <w:p w:rsidR="00000000" w:rsidRPr="00F4034E" w:rsidP="00F4034E">
      <w:pPr>
        <w:pStyle w:val="ListBullet"/>
      </w:pPr>
      <w:r w:rsidRPr="00F4034E">
        <w:t>workplace policies and procedures relevant to their job role and responsibilities including for:</w:t>
      </w:r>
    </w:p>
    <w:p w:rsidR="00000000" w:rsidRPr="00F4034E" w:rsidP="00F4034E">
      <w:pPr>
        <w:pStyle w:val="ListBullet2"/>
      </w:pPr>
      <w:r w:rsidRPr="00F4034E">
        <w:t xml:space="preserve">applying standards and codes of practice for </w:t>
      </w:r>
      <w:r w:rsidRPr="00F4034E">
        <w:t>the glass industry</w:t>
      </w:r>
    </w:p>
    <w:p w:rsidR="00000000" w:rsidRPr="00F4034E" w:rsidP="00F4034E">
      <w:pPr>
        <w:pStyle w:val="ListBullet2"/>
      </w:pPr>
      <w:r w:rsidRPr="00F4034E">
        <w:t>communication and reporting</w:t>
      </w:r>
    </w:p>
    <w:p w:rsidR="00000000" w:rsidRPr="00F4034E" w:rsidP="00F4034E">
      <w:pPr>
        <w:pStyle w:val="ListBullet2"/>
      </w:pPr>
      <w:r w:rsidRPr="00F4034E">
        <w:t>environmental protection and sustainability, including noise and waste</w:t>
      </w:r>
    </w:p>
    <w:p w:rsidR="00000000" w:rsidRPr="00F4034E" w:rsidP="00F4034E">
      <w:pPr>
        <w:pStyle w:val="ListBullet2"/>
      </w:pPr>
      <w:r w:rsidRPr="00F4034E">
        <w:t>quality assurance</w:t>
      </w:r>
    </w:p>
    <w:p w:rsidR="00000000" w:rsidRPr="00F4034E" w:rsidP="00F4034E">
      <w:pPr>
        <w:pStyle w:val="ListBullet2"/>
      </w:pPr>
      <w:r w:rsidRPr="00F4034E">
        <w:t>work health and safety, including personal protective equipment</w:t>
      </w:r>
    </w:p>
    <w:p w:rsidR="00000000" w:rsidRPr="00F4034E" w:rsidP="00F4034E">
      <w:pPr>
        <w:pStyle w:val="ListBullet2"/>
      </w:pPr>
      <w:r w:rsidRPr="00F4034E">
        <w:t>work planning</w:t>
      </w:r>
    </w:p>
    <w:p w:rsidR="00000000" w:rsidRPr="00F4034E" w:rsidP="00F4034E">
      <w:pPr>
        <w:pStyle w:val="ListBullet2"/>
      </w:pPr>
      <w:r w:rsidRPr="00F4034E">
        <w:t>how to identify if standards and codes of practice for the glass industry are applied correctly.</w:t>
      </w:r>
    </w:p>
    <w:p w:rsidR="00000000" w:rsidRPr="00F4034E" w:rsidP="00F4034E">
      <w:pPr>
        <w:pStyle w:val="AllowPageBreak"/>
      </w:pPr>
    </w:p>
    <w:p w:rsidR="00000000" w:rsidRPr="00F4034E" w:rsidP="00F4034E">
      <w:pPr>
        <w:pStyle w:val="Heading1"/>
      </w:pPr>
      <w:bookmarkStart w:id="4" w:name="O_1263900"/>
      <w:bookmarkEnd w:id="4"/>
      <w:r w:rsidRPr="00F4034E">
        <w:t>Assessment Conditions</w:t>
      </w:r>
    </w:p>
    <w:p w:rsidR="00000000" w:rsidRPr="00F4034E" w:rsidP="00F7286E">
      <w:pPr>
        <w:pStyle w:val="BodyText"/>
      </w:pPr>
      <w:r w:rsidRPr="00F4034E">
        <w:t>Skills must have been demonstrated in the workplace or in a simulated environment that reflects workplace conditions a</w:t>
      </w:r>
      <w:r w:rsidRPr="00F4034E">
        <w:t>nd contingencies. The following conditions must be met for this unit:</w:t>
      </w:r>
    </w:p>
    <w:p w:rsidR="00000000" w:rsidRPr="00F4034E" w:rsidP="00F4034E">
      <w:pPr>
        <w:pStyle w:val="ListBullet"/>
      </w:pPr>
      <w:r w:rsidRPr="00F4034E">
        <w:t>use of suitable facilities, equipment and resources, including:</w:t>
      </w:r>
    </w:p>
    <w:p w:rsidR="00000000" w:rsidRPr="00F4034E" w:rsidP="00F4034E">
      <w:pPr>
        <w:pStyle w:val="ListBullet2"/>
      </w:pPr>
      <w:r w:rsidRPr="00F4034E">
        <w:t>details of glass and glazing work requirements as specified in the performance evidence</w:t>
      </w:r>
    </w:p>
    <w:p w:rsidR="00000000" w:rsidRPr="00F4034E" w:rsidP="00F4034E">
      <w:pPr>
        <w:pStyle w:val="ListBullet2"/>
      </w:pPr>
      <w:r w:rsidRPr="00F4034E">
        <w:t>AS/NZS documentation as specifie</w:t>
      </w:r>
      <w:r w:rsidRPr="00F4034E">
        <w:t>d in the knowledge evidence</w:t>
      </w:r>
    </w:p>
    <w:p w:rsidR="00000000" w:rsidRPr="00F4034E" w:rsidP="00F4034E">
      <w:pPr>
        <w:pStyle w:val="ListBullet2"/>
      </w:pPr>
      <w:r w:rsidRPr="00F4034E">
        <w:t>workplace procedures.</w:t>
      </w:r>
    </w:p>
    <w:p w:rsidR="00000000" w:rsidRPr="00F4034E" w:rsidP="00F7286E">
      <w:pPr>
        <w:pStyle w:val="BodyText"/>
      </w:pPr>
      <w:r w:rsidRPr="00F4034E">
        <w:t>Assessors of this unit must satisfy the NVR/AQTF mandatory competency requirements for assessors.</w:t>
      </w:r>
    </w:p>
    <w:p w:rsidR="00000000" w:rsidRPr="00F4034E" w:rsidP="00F4034E">
      <w:pPr>
        <w:pStyle w:val="Heading1"/>
      </w:pPr>
      <w:bookmarkStart w:id="5" w:name="O_1263903"/>
      <w:bookmarkEnd w:id="5"/>
      <w:r w:rsidRPr="00F4034E">
        <w:t>Links</w:t>
      </w:r>
    </w:p>
    <w:p w:rsidR="00000000" w:rsidRPr="00F4034E" w:rsidP="00F7286E">
      <w:pPr>
        <w:pStyle w:val="BodyText"/>
      </w:pPr>
      <w:r w:rsidRPr="00F4034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1777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4034E" w:rsidP="00F4034E"/>
    <w:sectPr w:rsidSect="00F403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4E" w:rsidRPr="00F7286E" w:rsidP="00F72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86E" w:rsidP="00F403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286E" w:rsidP="00F403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286E" w:rsidP="00F403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34E" w:rsidRPr="00F7286E" w:rsidP="00F72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86E" w:rsidRPr="002D2AF8" w:rsidP="00F403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MSFGG4017 Apply standards and codes of practice for the glass and glazing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7286E" w:rsidP="00F403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682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3C7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A8E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3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3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3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3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3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3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3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3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3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3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3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34E"/>
  </w:style>
  <w:style w:type="character" w:customStyle="1" w:styleId="Heading1Char">
    <w:name w:val="Heading 1 Char"/>
    <w:basedOn w:val="DefaultParagraphFont"/>
    <w:link w:val="Heading1"/>
    <w:rsid w:val="00F403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3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3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3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03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03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3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3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3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3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3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3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3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3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3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3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3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3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3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3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3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3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3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3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3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034E"/>
    <w:rPr>
      <w:b/>
      <w:spacing w:val="0"/>
    </w:rPr>
  </w:style>
  <w:style w:type="paragraph" w:customStyle="1" w:styleId="SuperTitle">
    <w:name w:val="SuperTitle"/>
    <w:basedOn w:val="Title"/>
    <w:rsid w:val="00F403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3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3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03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3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3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3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3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3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3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3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3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034E"/>
    <w:rPr>
      <w:i/>
    </w:rPr>
  </w:style>
  <w:style w:type="paragraph" w:styleId="Caption">
    <w:name w:val="caption"/>
    <w:basedOn w:val="BodyText"/>
    <w:next w:val="Normal"/>
    <w:qFormat/>
    <w:rsid w:val="00F403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3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3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34E"/>
  </w:style>
  <w:style w:type="paragraph" w:styleId="TableofFigures">
    <w:name w:val="table of figures"/>
    <w:basedOn w:val="Normal"/>
    <w:next w:val="Normal"/>
    <w:semiHidden/>
    <w:rsid w:val="00F403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3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034E"/>
    <w:rPr>
      <w:rFonts w:ascii="Wingdings" w:hAnsi="Wingdings"/>
    </w:rPr>
  </w:style>
  <w:style w:type="paragraph" w:customStyle="1" w:styleId="TableHeading">
    <w:name w:val="Table Heading"/>
    <w:basedOn w:val="HeadingBase"/>
    <w:rsid w:val="00F403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34E"/>
    <w:rPr>
      <w:color w:val="0033CC"/>
      <w:u w:val="none"/>
    </w:rPr>
  </w:style>
  <w:style w:type="paragraph" w:customStyle="1" w:styleId="BodyTextRight">
    <w:name w:val="Body Text Right"/>
    <w:basedOn w:val="BodyText"/>
    <w:rsid w:val="00F403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3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3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3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3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3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34E"/>
    <w:rPr>
      <w:sz w:val="32"/>
    </w:rPr>
  </w:style>
  <w:style w:type="paragraph" w:customStyle="1" w:styleId="HeadingProcedure">
    <w:name w:val="Heading Procedure"/>
    <w:basedOn w:val="HeadingBase"/>
    <w:next w:val="Normal"/>
    <w:rsid w:val="00F403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34E"/>
    <w:pPr>
      <w:spacing w:before="60" w:after="60"/>
    </w:pPr>
  </w:style>
  <w:style w:type="paragraph" w:styleId="ListContinue">
    <w:name w:val="List Continue"/>
    <w:basedOn w:val="List"/>
    <w:rsid w:val="00F4034E"/>
    <w:pPr>
      <w:ind w:firstLine="0"/>
    </w:pPr>
  </w:style>
  <w:style w:type="paragraph" w:customStyle="1" w:styleId="ListNote">
    <w:name w:val="List Note"/>
    <w:basedOn w:val="List"/>
    <w:rsid w:val="00F403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3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3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34E"/>
    <w:rPr>
      <w:rFonts w:ascii="Courier New" w:hAnsi="Courier New"/>
    </w:rPr>
  </w:style>
  <w:style w:type="paragraph" w:customStyle="1" w:styleId="NoteBullet">
    <w:name w:val="Note Bullet"/>
    <w:basedOn w:val="Note"/>
    <w:rsid w:val="00F403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3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3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3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3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03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3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34E"/>
    <w:rPr>
      <w:b/>
      <w:smallCaps/>
    </w:rPr>
  </w:style>
  <w:style w:type="paragraph" w:customStyle="1" w:styleId="TableListNumber">
    <w:name w:val="Table List Number"/>
    <w:basedOn w:val="ListNumber"/>
    <w:rsid w:val="00F403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3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34E"/>
    <w:pPr>
      <w:numPr>
        <w:numId w:val="9"/>
      </w:numPr>
    </w:pPr>
  </w:style>
  <w:style w:type="paragraph" w:customStyle="1" w:styleId="ListAlpha2">
    <w:name w:val="List Alpha 2"/>
    <w:basedOn w:val="List2"/>
    <w:rsid w:val="00F4034E"/>
    <w:pPr>
      <w:numPr>
        <w:numId w:val="8"/>
      </w:numPr>
    </w:pPr>
  </w:style>
  <w:style w:type="paragraph" w:styleId="List2">
    <w:name w:val="List 2"/>
    <w:basedOn w:val="BodyText"/>
    <w:rsid w:val="00F403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3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3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3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3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3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034E"/>
    <w:pPr>
      <w:numPr>
        <w:numId w:val="4"/>
      </w:numPr>
    </w:pPr>
  </w:style>
  <w:style w:type="paragraph" w:styleId="ListContinue2">
    <w:name w:val="List Continue 2"/>
    <w:basedOn w:val="List2"/>
    <w:rsid w:val="00F4034E"/>
    <w:pPr>
      <w:ind w:firstLine="0"/>
    </w:pPr>
  </w:style>
  <w:style w:type="paragraph" w:styleId="ListContinue3">
    <w:name w:val="List Continue 3"/>
    <w:basedOn w:val="List3"/>
    <w:rsid w:val="00F4034E"/>
    <w:pPr>
      <w:ind w:left="1021" w:firstLine="0"/>
    </w:pPr>
  </w:style>
  <w:style w:type="paragraph" w:styleId="ListContinue4">
    <w:name w:val="List Continue 4"/>
    <w:basedOn w:val="List4"/>
    <w:rsid w:val="00F4034E"/>
    <w:pPr>
      <w:ind w:firstLine="0"/>
    </w:pPr>
  </w:style>
  <w:style w:type="paragraph" w:styleId="ListContinue5">
    <w:name w:val="List Continue 5"/>
    <w:basedOn w:val="List5"/>
    <w:rsid w:val="00F4034E"/>
    <w:pPr>
      <w:ind w:firstLine="0"/>
    </w:pPr>
  </w:style>
  <w:style w:type="paragraph" w:styleId="ListNumber3">
    <w:name w:val="List Number 3"/>
    <w:basedOn w:val="List3"/>
    <w:rsid w:val="00F4034E"/>
    <w:pPr>
      <w:numPr>
        <w:numId w:val="5"/>
      </w:numPr>
    </w:pPr>
  </w:style>
  <w:style w:type="paragraph" w:styleId="ListNumber4">
    <w:name w:val="List Number 4"/>
    <w:basedOn w:val="List4"/>
    <w:rsid w:val="00F4034E"/>
    <w:pPr>
      <w:numPr>
        <w:numId w:val="6"/>
      </w:numPr>
    </w:pPr>
  </w:style>
  <w:style w:type="paragraph" w:styleId="ListNumber5">
    <w:name w:val="List Number 5"/>
    <w:basedOn w:val="List5"/>
    <w:rsid w:val="00F4034E"/>
    <w:pPr>
      <w:numPr>
        <w:numId w:val="7"/>
      </w:numPr>
    </w:pPr>
  </w:style>
  <w:style w:type="paragraph" w:styleId="BlockText">
    <w:name w:val="Block Text"/>
    <w:basedOn w:val="Normal"/>
    <w:rsid w:val="00F403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3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34E"/>
    <w:rPr>
      <w:sz w:val="16"/>
      <w:vertAlign w:val="superscript"/>
    </w:rPr>
  </w:style>
  <w:style w:type="character" w:customStyle="1" w:styleId="Symbols">
    <w:name w:val="Symbols"/>
    <w:basedOn w:val="DefaultParagraphFont"/>
    <w:rsid w:val="00F4034E"/>
    <w:rPr>
      <w:rFonts w:ascii="Symbol" w:hAnsi="Symbol"/>
    </w:rPr>
  </w:style>
  <w:style w:type="character" w:customStyle="1" w:styleId="MenuOptions">
    <w:name w:val="Menu Options"/>
    <w:basedOn w:val="DefaultParagraphFont"/>
    <w:rsid w:val="00F403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34E"/>
    <w:rPr>
      <w:b/>
    </w:rPr>
  </w:style>
  <w:style w:type="character" w:customStyle="1" w:styleId="Underlined">
    <w:name w:val="Underlined"/>
    <w:basedOn w:val="DefaultParagraphFont"/>
    <w:rsid w:val="00F4034E"/>
    <w:rPr>
      <w:u w:val="single"/>
    </w:rPr>
  </w:style>
  <w:style w:type="paragraph" w:customStyle="1" w:styleId="TableBodyTextRight">
    <w:name w:val="Table Body Text Right"/>
    <w:basedOn w:val="TableBodyText"/>
    <w:rsid w:val="00F403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34E"/>
    <w:rPr>
      <w:sz w:val="18"/>
    </w:rPr>
  </w:style>
  <w:style w:type="paragraph" w:customStyle="1" w:styleId="BodySmallRight">
    <w:name w:val="Body Small Right"/>
    <w:basedOn w:val="BodyTextRight"/>
    <w:rsid w:val="00F4034E"/>
    <w:rPr>
      <w:sz w:val="18"/>
      <w:szCs w:val="18"/>
    </w:rPr>
  </w:style>
  <w:style w:type="paragraph" w:customStyle="1" w:styleId="MarginEdition">
    <w:name w:val="Margin Edition"/>
    <w:basedOn w:val="MarginNote"/>
    <w:rsid w:val="00F403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34E"/>
    <w:rPr>
      <w:sz w:val="2"/>
      <w:szCs w:val="2"/>
    </w:rPr>
  </w:style>
  <w:style w:type="character" w:customStyle="1" w:styleId="Small">
    <w:name w:val="Small"/>
    <w:basedOn w:val="DefaultParagraphFont"/>
    <w:rsid w:val="00F4034E"/>
    <w:rPr>
      <w:sz w:val="16"/>
    </w:rPr>
  </w:style>
  <w:style w:type="paragraph" w:customStyle="1" w:styleId="WideTable">
    <w:name w:val="Wide Table"/>
    <w:basedOn w:val="Normal"/>
    <w:rsid w:val="00F403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34E"/>
  </w:style>
  <w:style w:type="paragraph" w:styleId="Quote">
    <w:name w:val="Quote"/>
    <w:basedOn w:val="Heading1"/>
    <w:link w:val="QuoteChar"/>
    <w:qFormat/>
    <w:rsid w:val="00F403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3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34E"/>
    <w:pPr>
      <w:pageBreakBefore/>
    </w:pPr>
  </w:style>
  <w:style w:type="paragraph" w:customStyle="1" w:styleId="Border">
    <w:name w:val="Border"/>
    <w:basedOn w:val="Normal"/>
    <w:qFormat/>
    <w:rsid w:val="00F403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3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3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3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3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3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3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3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3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34E"/>
    <w:rPr>
      <w:u w:val="single"/>
    </w:rPr>
  </w:style>
  <w:style w:type="character" w:customStyle="1" w:styleId="BoldandItalics">
    <w:name w:val="Bold and Italics"/>
    <w:qFormat/>
    <w:rsid w:val="00F4034E"/>
    <w:rPr>
      <w:b/>
      <w:i/>
      <w:u w:val="none"/>
    </w:rPr>
  </w:style>
  <w:style w:type="paragraph" w:styleId="BalloonText">
    <w:name w:val="Balloon Text"/>
    <w:basedOn w:val="Normal"/>
    <w:link w:val="BalloonTextChar"/>
    <w:rsid w:val="00F40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3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3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3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3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3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34E"/>
    <w:pPr>
      <w:spacing w:before="0" w:after="0"/>
    </w:pPr>
  </w:style>
  <w:style w:type="paragraph" w:customStyle="1" w:styleId="BodyTextBold">
    <w:name w:val="Body Text Bold"/>
    <w:basedOn w:val="BodyText"/>
    <w:qFormat/>
    <w:rsid w:val="00F4034E"/>
    <w:rPr>
      <w:b/>
    </w:rPr>
  </w:style>
  <w:style w:type="character" w:styleId="Hyperlink">
    <w:name w:val="Hyperlink"/>
    <w:basedOn w:val="DefaultParagraphFont"/>
    <w:uiPriority w:val="99"/>
    <w:unhideWhenUsed/>
    <w:rsid w:val="00F72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3208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MSFGG4017 Apply standards and codes of practice for the glass and glazing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