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60D" w:rsidP="00BE5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MSFGG4015 Manage glass processing plant shutdown and restart</w:t>
      </w:r>
      <w:r>
        <w:fldChar w:fldCharType="end"/>
      </w:r>
    </w:p>
    <w:p w:rsidR="00BE560D" w:rsidP="00BE560D">
      <w:pPr>
        <w:pStyle w:val="Version"/>
        <w:sectPr w:rsidSect="00CA2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2B7" w:rsidP="00CA22B7">
      <w:pPr>
        <w:pStyle w:val="SuperHeading"/>
      </w:pPr>
      <w:r w:rsidRPr="00CA22B7">
        <w:t>MSFGG4015 Manage glass processing plant shutdown and restart</w:t>
      </w:r>
    </w:p>
    <w:p w:rsidR="00000000" w:rsidRPr="00CA22B7" w:rsidP="00CA22B7">
      <w:pPr>
        <w:pStyle w:val="Heading1"/>
      </w:pPr>
      <w:bookmarkStart w:id="1" w:name="O_1015781"/>
      <w:bookmarkEnd w:id="1"/>
      <w:r w:rsidRPr="00CA22B7">
        <w:t>Modification History</w:t>
      </w:r>
    </w:p>
    <w:p w:rsidR="00000000" w:rsidRPr="00CA22B7" w:rsidP="00BE560D">
      <w:pPr>
        <w:pStyle w:val="BodyText"/>
      </w:pPr>
      <w:r w:rsidRPr="00CA22B7">
        <w:t>Release 1. Supersedes and is equivalent to MSFGG4007 Manage glass processing plant shutdown and restart.</w:t>
      </w:r>
    </w:p>
    <w:p w:rsidR="00000000" w:rsidRPr="00CA22B7" w:rsidP="00CA22B7">
      <w:pPr>
        <w:pStyle w:val="Heading1"/>
      </w:pPr>
      <w:bookmarkStart w:id="2" w:name="O_1015782"/>
      <w:bookmarkEnd w:id="2"/>
      <w:r w:rsidRPr="00CA22B7">
        <w:t>Application</w:t>
      </w:r>
    </w:p>
    <w:p w:rsidR="00000000" w:rsidRPr="00CA22B7" w:rsidP="00BE560D">
      <w:pPr>
        <w:pStyle w:val="BodyText"/>
      </w:pPr>
      <w:r w:rsidRPr="00CA22B7">
        <w:t xml:space="preserve">This unit describes the skills and knowledge required to coordinate and document </w:t>
      </w:r>
      <w:r w:rsidRPr="00CA22B7">
        <w:t xml:space="preserve">the shutdown and restart of a glass production or processing plant in a safe and efficient manner. The shutdown may be a planned or an unplanned shutdown or emergency situation. </w:t>
      </w:r>
    </w:p>
    <w:p w:rsidR="00000000" w:rsidRPr="00CA22B7" w:rsidP="00BE560D">
      <w:pPr>
        <w:pStyle w:val="BodyText"/>
      </w:pPr>
      <w:r w:rsidRPr="00CA22B7">
        <w:t>This unit typically applies to the leading plant technician on a shift, who u</w:t>
      </w:r>
      <w:r w:rsidRPr="00CA22B7">
        <w:t>ses discretion and judgment to respond to the cause of the shutdown and coordinate all personnel involved in the shutdown to ensure it happens in an orderly a fashion and that the plant is left in the best condition possible for a quick restart. It does no</w:t>
      </w:r>
      <w:r w:rsidRPr="00CA22B7">
        <w:t xml:space="preserve">t apply to individual plant operators shutting down individual production units. </w:t>
      </w:r>
    </w:p>
    <w:p w:rsidR="00000000" w:rsidRPr="00CA22B7" w:rsidP="00BE560D">
      <w:pPr>
        <w:pStyle w:val="BodyText"/>
      </w:pPr>
      <w:r w:rsidRPr="00CA22B7">
        <w:t>No licensing or certification requirements exist at the time of publication. Relevant legislation, industry standards and codes of practice within Australia must be applied.</w:t>
      </w:r>
    </w:p>
    <w:p w:rsidR="00000000" w:rsidRPr="00CA22B7" w:rsidP="00CA22B7">
      <w:pPr>
        <w:pStyle w:val="Heading1"/>
      </w:pPr>
      <w:bookmarkStart w:id="3" w:name="O_1015783"/>
      <w:bookmarkEnd w:id="3"/>
      <w:r w:rsidRPr="00CA22B7">
        <w:t>Pre-requisite Unit</w:t>
      </w:r>
    </w:p>
    <w:p w:rsidR="00000000" w:rsidRPr="00CA22B7" w:rsidP="00BE560D">
      <w:pPr>
        <w:pStyle w:val="BodyText"/>
      </w:pPr>
      <w:r w:rsidRPr="00CA22B7">
        <w:t>N/A</w:t>
      </w:r>
    </w:p>
    <w:p w:rsidR="00000000" w:rsidRPr="00CA22B7" w:rsidP="00CA22B7">
      <w:pPr>
        <w:pStyle w:val="Heading1"/>
      </w:pPr>
      <w:bookmarkStart w:id="4" w:name="O_1015785"/>
      <w:bookmarkEnd w:id="4"/>
      <w:r w:rsidRPr="00CA22B7">
        <w:t>Unit Sector</w:t>
      </w:r>
    </w:p>
    <w:p w:rsidR="00000000" w:rsidRPr="00CA22B7" w:rsidP="00BE560D">
      <w:pPr>
        <w:pStyle w:val="BodyText"/>
      </w:pPr>
      <w:r w:rsidRPr="00CA22B7">
        <w:t>Glass and Glazing.</w:t>
      </w:r>
    </w:p>
    <w:p w:rsidR="00000000" w:rsidRPr="00CA22B7" w:rsidP="00CA22B7">
      <w:pPr>
        <w:pStyle w:val="Heading1"/>
      </w:pPr>
      <w:bookmarkStart w:id="5" w:name="O_1015786"/>
      <w:bookmarkEnd w:id="5"/>
      <w:r w:rsidRPr="00CA22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E5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2B7" w:rsidP="00CA22B7">
            <w:pPr>
              <w:pStyle w:val="BodyText"/>
            </w:pPr>
            <w:r w:rsidRPr="00CA22B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2B7">
            <w:pPr>
              <w:pStyle w:val="BodyText"/>
              <w:rPr>
                <w:lang w:val="en-NZ"/>
              </w:rPr>
            </w:pPr>
            <w:r w:rsidRPr="00CA22B7">
              <w:rPr>
                <w:rStyle w:val="SpecialBold"/>
              </w:rPr>
              <w:t>Performance Criteria</w:t>
            </w:r>
          </w:p>
        </w:tc>
      </w:tr>
      <w:tr w:rsidTr="00BE5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2B7" w:rsidP="00CA22B7">
            <w:pPr>
              <w:pStyle w:val="BodyText"/>
            </w:pPr>
            <w:r w:rsidRPr="00CA22B7">
              <w:rPr>
                <w:rStyle w:val="Emphasis"/>
              </w:rPr>
              <w:t xml:space="preserve">Elements describe the </w:t>
            </w:r>
            <w:r w:rsidRPr="00CA22B7">
              <w:t xml:space="preserve">essential </w:t>
            </w:r>
            <w:r w:rsidRPr="00CA22B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2B7">
            <w:pPr>
              <w:pStyle w:val="BodyText"/>
              <w:rPr>
                <w:lang w:val="en-NZ"/>
              </w:rPr>
            </w:pPr>
            <w:r w:rsidRPr="00CA22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5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2B7">
            <w:pPr>
              <w:pStyle w:val="BodyText"/>
              <w:rPr>
                <w:lang w:val="en-NZ"/>
              </w:rPr>
            </w:pPr>
            <w:r w:rsidRPr="00CA22B7">
              <w:t>1. Manage shutdown sequence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2B7" w:rsidP="00CA22B7">
            <w:pPr>
              <w:pStyle w:val="BodyText"/>
            </w:pPr>
            <w:r w:rsidRPr="00CA22B7">
              <w:t>1.1 Check and verify glass plant safety systems and ensure that plant has been made safe</w:t>
            </w:r>
          </w:p>
          <w:p w:rsidR="00000000" w:rsidRPr="00CA22B7" w:rsidP="00CA22B7">
            <w:pPr>
              <w:pStyle w:val="BodyText"/>
            </w:pPr>
            <w:r w:rsidRPr="00CA22B7">
              <w:t xml:space="preserve">1.2 Identify the reason for, or cause of, </w:t>
            </w:r>
            <w:r w:rsidRPr="00CA22B7">
              <w:t>the plant shutdown by troubleshooting the system using all available data and information systems</w:t>
            </w:r>
          </w:p>
          <w:p w:rsidR="00000000" w:rsidRPr="00CA22B7" w:rsidP="00CA22B7">
            <w:pPr>
              <w:pStyle w:val="BodyText"/>
            </w:pPr>
            <w:r w:rsidRPr="00CA22B7">
              <w:t>1.3 Obtain confirmation of the identified shutdown from operators to verify both the nature and the reliability of the shutdown</w:t>
            </w:r>
          </w:p>
          <w:p w:rsidR="00000000" w:rsidP="00CA22B7">
            <w:pPr>
              <w:pStyle w:val="BodyText"/>
              <w:rPr>
                <w:lang w:val="en-NZ"/>
              </w:rPr>
            </w:pPr>
            <w:r w:rsidRPr="00CA22B7">
              <w:t>1.4 Initiate procedures to rec</w:t>
            </w:r>
            <w:r w:rsidRPr="00CA22B7">
              <w:t>tify the fault or shutdown cause through repair or readjustment before returning the system to startup status</w:t>
            </w:r>
          </w:p>
        </w:tc>
      </w:tr>
      <w:tr w:rsidTr="00BE5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2B7">
            <w:pPr>
              <w:pStyle w:val="BodyText"/>
              <w:rPr>
                <w:lang w:val="en-NZ"/>
              </w:rPr>
            </w:pPr>
            <w:r w:rsidRPr="00CA22B7">
              <w:t>2. Conduct startup process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2B7" w:rsidP="00CA22B7">
            <w:pPr>
              <w:pStyle w:val="BodyText"/>
            </w:pPr>
            <w:r w:rsidRPr="00CA22B7">
              <w:t>2.1 Satisfy all start-up permissions prior to startup process being commenced</w:t>
            </w:r>
          </w:p>
          <w:p w:rsidR="00000000" w:rsidP="00CA22B7">
            <w:pPr>
              <w:pStyle w:val="BodyText"/>
              <w:rPr>
                <w:lang w:val="en-NZ"/>
              </w:rPr>
            </w:pPr>
            <w:r w:rsidRPr="00CA22B7">
              <w:t>2.2 Safely and efficiently conduct start</w:t>
            </w:r>
            <w:r w:rsidRPr="00CA22B7">
              <w:t>up and return to normal operation in accordance with workplace procedures</w:t>
            </w:r>
          </w:p>
        </w:tc>
      </w:tr>
      <w:tr w:rsidTr="00BE5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2B7">
            <w:pPr>
              <w:pStyle w:val="BodyText"/>
              <w:rPr>
                <w:lang w:val="en-NZ"/>
              </w:rPr>
            </w:pPr>
            <w:r w:rsidRPr="00CA22B7">
              <w:t xml:space="preserve">3. Document shutdown and startup process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2B7" w:rsidP="00CA22B7">
            <w:pPr>
              <w:pStyle w:val="BodyText"/>
            </w:pPr>
            <w:r w:rsidRPr="00CA22B7">
              <w:t xml:space="preserve">3.1 Accurately complete logs and workplace documentation with required details, actions and responses </w:t>
            </w:r>
          </w:p>
          <w:p w:rsidR="00000000" w:rsidRPr="00CA22B7" w:rsidP="00CA22B7">
            <w:pPr>
              <w:pStyle w:val="BodyText"/>
            </w:pPr>
            <w:r w:rsidRPr="00CA22B7">
              <w:t>3.2 Record and report any ongoing pr</w:t>
            </w:r>
            <w:r w:rsidRPr="00CA22B7">
              <w:t>oduction problems to appropriate persons or authority</w:t>
            </w:r>
          </w:p>
        </w:tc>
      </w:tr>
    </w:tbl>
    <w:p w:rsidR="00000000" w:rsidRPr="00CA22B7" w:rsidP="00CA22B7">
      <w:pPr>
        <w:pStyle w:val="BodyText"/>
      </w:pPr>
    </w:p>
    <w:p w:rsidR="00000000" w:rsidRPr="00CA22B7" w:rsidP="00CA22B7">
      <w:pPr>
        <w:pStyle w:val="AllowPageBreak"/>
      </w:pPr>
    </w:p>
    <w:p w:rsidR="00000000" w:rsidRPr="00CA22B7" w:rsidP="00CA22B7">
      <w:pPr>
        <w:pStyle w:val="Heading1"/>
      </w:pPr>
      <w:bookmarkStart w:id="6" w:name="O_1015787"/>
      <w:bookmarkEnd w:id="6"/>
      <w:r w:rsidRPr="00CA22B7">
        <w:t>Foundation Skills</w:t>
      </w:r>
    </w:p>
    <w:p w:rsidR="00000000" w:rsidRPr="00CA22B7" w:rsidP="00BE560D">
      <w:pPr>
        <w:pStyle w:val="BodyText"/>
      </w:pPr>
      <w:r w:rsidRPr="00CA22B7">
        <w:t>Foundation skills essential to performance are explicit in the performance criteria of this unit of competency.</w:t>
      </w:r>
    </w:p>
    <w:p w:rsidR="00000000" w:rsidRPr="00CA22B7" w:rsidP="00CA22B7">
      <w:pPr>
        <w:pStyle w:val="Heading1"/>
      </w:pPr>
      <w:bookmarkStart w:id="7" w:name="O_1015789"/>
      <w:bookmarkEnd w:id="7"/>
      <w:r w:rsidRPr="00CA22B7">
        <w:t>Unit Mapping Information</w:t>
      </w:r>
    </w:p>
    <w:p w:rsidR="00000000" w:rsidRPr="00CA22B7" w:rsidP="00BE560D">
      <w:pPr>
        <w:pStyle w:val="BodyText"/>
      </w:pPr>
      <w:r w:rsidRPr="00CA22B7">
        <w:t>Supersedes and is equivalent to MSFGG4007 Manage glass processing plant shutdown and restart.</w:t>
      </w:r>
    </w:p>
    <w:p w:rsidR="00000000" w:rsidRPr="00CA22B7" w:rsidP="00CA22B7">
      <w:pPr>
        <w:pStyle w:val="Heading1"/>
      </w:pPr>
      <w:bookmarkStart w:id="8" w:name="O_1015796"/>
      <w:bookmarkEnd w:id="8"/>
      <w:r w:rsidRPr="00CA22B7">
        <w:t>Links</w:t>
      </w:r>
    </w:p>
    <w:p w:rsidR="00000000" w:rsidRPr="00CA22B7" w:rsidP="00BE560D">
      <w:pPr>
        <w:pStyle w:val="BodyText"/>
      </w:pPr>
      <w:r w:rsidRPr="00CA22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5128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A22B7" w:rsidP="00BE560D">
      <w:pPr>
        <w:pStyle w:val="BodyText"/>
        <w:sectPr w:rsidSect="00CA22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22B7" w:rsidP="00CA22B7">
      <w:pPr>
        <w:pStyle w:val="SuperHeading"/>
      </w:pPr>
      <w:r w:rsidRPr="00CA22B7">
        <w:t>Assessment Requirements for MSFGG4015 Manage glass processing plant shutdown and restart</w:t>
      </w:r>
    </w:p>
    <w:p w:rsidR="00000000" w:rsidRPr="00CA22B7" w:rsidP="00CA22B7">
      <w:pPr>
        <w:pStyle w:val="Heading1"/>
      </w:pPr>
      <w:bookmarkStart w:id="9" w:name="O_1015791"/>
      <w:bookmarkEnd w:id="9"/>
      <w:r w:rsidRPr="00CA22B7">
        <w:t>Modification History</w:t>
      </w:r>
    </w:p>
    <w:p w:rsidR="00BE560D" w:rsidP="00BE560D">
      <w:pPr>
        <w:pStyle w:val="BodyText"/>
      </w:pPr>
      <w:r w:rsidRPr="00CA22B7">
        <w:t>Release 1. Supersedes and is equivalent to MSFGG4007 Manage glass proces</w:t>
      </w:r>
      <w:r w:rsidRPr="00CA22B7">
        <w:t>sing plant shutdown and restart.</w:t>
      </w:r>
    </w:p>
    <w:p w:rsidR="00000000" w:rsidRPr="00CA22B7" w:rsidP="00CA22B7">
      <w:pPr>
        <w:pStyle w:val="Heading1"/>
      </w:pPr>
      <w:bookmarkStart w:id="10" w:name="O_1015792"/>
      <w:bookmarkEnd w:id="10"/>
      <w:r w:rsidRPr="00CA22B7">
        <w:t>Performance Evidence</w:t>
      </w:r>
    </w:p>
    <w:p w:rsidR="00000000" w:rsidRPr="00CA22B7" w:rsidP="00BE560D">
      <w:pPr>
        <w:pStyle w:val="BodyText"/>
      </w:pPr>
      <w:r w:rsidRPr="00CA22B7">
        <w:t xml:space="preserve">There must be evidence the candidate has completed the tasks outlined in the elements and performance criteria of this unit, and: </w:t>
      </w:r>
    </w:p>
    <w:p w:rsidR="00000000" w:rsidRPr="00CA22B7" w:rsidP="00CA22B7">
      <w:pPr>
        <w:pStyle w:val="ListBullet"/>
      </w:pPr>
      <w:r w:rsidRPr="00CA22B7">
        <w:t>shutdown and restarted a glass processing plant sa</w:t>
      </w:r>
      <w:r w:rsidRPr="00CA22B7">
        <w:t>fety and efficiently on at least 1 occasion.</w:t>
      </w:r>
    </w:p>
    <w:p w:rsidR="00000000" w:rsidRPr="00CA22B7" w:rsidP="00CA22B7">
      <w:pPr>
        <w:pStyle w:val="AllowPageBreak"/>
      </w:pPr>
    </w:p>
    <w:p w:rsidR="00000000" w:rsidRPr="00CA22B7" w:rsidP="00CA22B7">
      <w:pPr>
        <w:pStyle w:val="Heading1"/>
      </w:pPr>
      <w:bookmarkStart w:id="11" w:name="O_1015793"/>
      <w:bookmarkEnd w:id="11"/>
      <w:r w:rsidRPr="00CA22B7">
        <w:t>Knowledge Evidence</w:t>
      </w:r>
    </w:p>
    <w:p w:rsidR="00000000" w:rsidRPr="00CA22B7" w:rsidP="00BE560D">
      <w:pPr>
        <w:pStyle w:val="BodyText"/>
      </w:pPr>
      <w:r w:rsidRPr="00CA22B7">
        <w:t>There must be evidence the candidate has knowledge of:</w:t>
      </w:r>
    </w:p>
    <w:p w:rsidR="00000000" w:rsidRPr="00CA22B7" w:rsidP="00CA22B7">
      <w:pPr>
        <w:pStyle w:val="ListBullet"/>
      </w:pPr>
      <w:r w:rsidRPr="00CA22B7">
        <w:t>workplace safety system and its relationship to plant shutdown and restart</w:t>
      </w:r>
    </w:p>
    <w:p w:rsidR="00000000" w:rsidRPr="00CA22B7" w:rsidP="00CA22B7">
      <w:pPr>
        <w:pStyle w:val="ListBullet"/>
      </w:pPr>
      <w:r w:rsidRPr="00CA22B7">
        <w:t xml:space="preserve">basic physics, chemistry and mathematics relevant to the process </w:t>
      </w:r>
    </w:p>
    <w:p w:rsidR="00000000" w:rsidRPr="00CA22B7" w:rsidP="00CA22B7">
      <w:pPr>
        <w:pStyle w:val="ListBullet"/>
      </w:pPr>
      <w:r w:rsidRPr="00CA22B7">
        <w:t>glass product specifications and tolerances</w:t>
      </w:r>
    </w:p>
    <w:p w:rsidR="00000000" w:rsidRPr="00CA22B7" w:rsidP="00CA22B7">
      <w:pPr>
        <w:pStyle w:val="ListBullet"/>
      </w:pPr>
      <w:r w:rsidRPr="00CA22B7">
        <w:t>general operating principles and features of glass processing plants, including:</w:t>
      </w:r>
    </w:p>
    <w:p w:rsidR="00000000" w:rsidRPr="00CA22B7" w:rsidP="00CA22B7">
      <w:pPr>
        <w:pStyle w:val="ListBullet2"/>
      </w:pPr>
      <w:r w:rsidRPr="00CA22B7">
        <w:t xml:space="preserve">process control philosophies, strategies and systems, including </w:t>
      </w:r>
      <w:r w:rsidRPr="00CA22B7">
        <w:t>multiple control systems</w:t>
      </w:r>
    </w:p>
    <w:p w:rsidR="00000000" w:rsidRPr="00CA22B7" w:rsidP="00CA22B7">
      <w:pPr>
        <w:pStyle w:val="ListBullet2"/>
      </w:pPr>
      <w:r w:rsidRPr="00CA22B7">
        <w:t xml:space="preserve">basis of control for glass processing plant/s </w:t>
      </w:r>
    </w:p>
    <w:p w:rsidR="00000000" w:rsidRPr="00CA22B7" w:rsidP="00CA22B7">
      <w:pPr>
        <w:pStyle w:val="ListBullet2"/>
      </w:pPr>
      <w:r w:rsidRPr="00CA22B7">
        <w:t xml:space="preserve">systems operating parameters and integrity limits </w:t>
      </w:r>
    </w:p>
    <w:p w:rsidR="00000000" w:rsidRPr="00CA22B7" w:rsidP="00CA22B7">
      <w:pPr>
        <w:pStyle w:val="ListBullet2"/>
      </w:pPr>
      <w:r w:rsidRPr="00CA22B7">
        <w:t>architecture and location of the glass process and/or production equipment</w:t>
      </w:r>
    </w:p>
    <w:p w:rsidR="00000000" w:rsidRPr="00CA22B7" w:rsidP="00CA22B7">
      <w:pPr>
        <w:pStyle w:val="ListBullet2"/>
      </w:pPr>
      <w:r w:rsidRPr="00CA22B7">
        <w:t>interactions between glass plant items and/or processes an</w:t>
      </w:r>
      <w:r w:rsidRPr="00CA22B7">
        <w:t>d between plant units within entire plant</w:t>
      </w:r>
    </w:p>
    <w:p w:rsidR="00000000" w:rsidRPr="00CA22B7" w:rsidP="00CA22B7">
      <w:pPr>
        <w:pStyle w:val="ListBullet2"/>
      </w:pPr>
      <w:r w:rsidRPr="00CA22B7">
        <w:t xml:space="preserve">communication systems and protocols </w:t>
      </w:r>
    </w:p>
    <w:p w:rsidR="00000000" w:rsidRPr="00CA22B7" w:rsidP="00CA22B7">
      <w:pPr>
        <w:pStyle w:val="ListBullet2"/>
      </w:pPr>
      <w:r w:rsidRPr="00CA22B7">
        <w:t>fire and gas detection and/or protection systems</w:t>
      </w:r>
    </w:p>
    <w:p w:rsidR="00000000" w:rsidRPr="00CA22B7" w:rsidP="00CA22B7">
      <w:pPr>
        <w:pStyle w:val="ListBullet2"/>
      </w:pPr>
      <w:r w:rsidRPr="00CA22B7">
        <w:t>emergency shutdown procedures</w:t>
      </w:r>
    </w:p>
    <w:p w:rsidR="00000000" w:rsidRPr="00CA22B7" w:rsidP="00CA22B7">
      <w:pPr>
        <w:pStyle w:val="ListBullet"/>
      </w:pPr>
      <w:r w:rsidRPr="00CA22B7">
        <w:t>organisational procedures for the operation of a specific glass plant</w:t>
      </w:r>
    </w:p>
    <w:p w:rsidR="00000000" w:rsidRPr="00CA22B7" w:rsidP="00CA22B7">
      <w:pPr>
        <w:pStyle w:val="ListBullet"/>
      </w:pPr>
      <w:r w:rsidRPr="00CA22B7">
        <w:t>planned, unplanned and emergency reasons for processing plant shutdown, and different types of shutdown:</w:t>
      </w:r>
    </w:p>
    <w:p w:rsidR="00000000" w:rsidRPr="00CA22B7" w:rsidP="00CA22B7">
      <w:pPr>
        <w:pStyle w:val="ListBullet2"/>
      </w:pPr>
      <w:r w:rsidRPr="00CA22B7">
        <w:t xml:space="preserve">shutdown </w:t>
      </w:r>
      <w:r>
        <w:t>‘</w:t>
      </w:r>
      <w:r w:rsidRPr="00CA22B7">
        <w:t>to cold</w:t>
      </w:r>
      <w:r>
        <w:t>’</w:t>
      </w:r>
      <w:r w:rsidRPr="00CA22B7">
        <w:t xml:space="preserve"> </w:t>
      </w:r>
    </w:p>
    <w:p w:rsidR="00000000" w:rsidRPr="00CA22B7" w:rsidP="00CA22B7">
      <w:pPr>
        <w:pStyle w:val="ListBullet2"/>
      </w:pPr>
      <w:r w:rsidRPr="00CA22B7">
        <w:t xml:space="preserve">short shutdown to allow minor work </w:t>
      </w:r>
    </w:p>
    <w:p w:rsidR="00000000" w:rsidRPr="00CA22B7" w:rsidP="00CA22B7">
      <w:pPr>
        <w:pStyle w:val="ListBullet2"/>
      </w:pPr>
      <w:r>
        <w:t>‘</w:t>
      </w:r>
      <w:r w:rsidRPr="00CA22B7">
        <w:t>warm shutdown</w:t>
      </w:r>
      <w:r>
        <w:t>’</w:t>
      </w:r>
      <w:r w:rsidRPr="00CA22B7">
        <w:t xml:space="preserve"> </w:t>
      </w:r>
    </w:p>
    <w:p w:rsidR="00000000" w:rsidRPr="00CA22B7" w:rsidP="00CA22B7">
      <w:pPr>
        <w:pStyle w:val="ListBullet2"/>
      </w:pPr>
      <w:r w:rsidRPr="00CA22B7">
        <w:t xml:space="preserve">plant trip and restart </w:t>
      </w:r>
      <w:r>
        <w:t>‘</w:t>
      </w:r>
      <w:r w:rsidRPr="00CA22B7">
        <w:t>hot shutdown</w:t>
      </w:r>
      <w:r>
        <w:t>’</w:t>
      </w:r>
      <w:r w:rsidRPr="00CA22B7">
        <w:t xml:space="preserve"> </w:t>
      </w:r>
    </w:p>
    <w:p w:rsidR="00000000" w:rsidRPr="00CA22B7" w:rsidP="00CA22B7">
      <w:pPr>
        <w:pStyle w:val="ListBullet"/>
      </w:pPr>
      <w:r w:rsidRPr="00CA22B7">
        <w:t xml:space="preserve">the actions involved in facilitating </w:t>
      </w:r>
      <w:r w:rsidRPr="00CA22B7">
        <w:t>a shutdown and who is involved</w:t>
      </w:r>
    </w:p>
    <w:p w:rsidR="00000000" w:rsidRPr="00CA22B7" w:rsidP="00CA22B7">
      <w:pPr>
        <w:pStyle w:val="ListBullet"/>
      </w:pPr>
      <w:r w:rsidRPr="00CA22B7">
        <w:t>typical routine and major glass processing plant idiosyncrasies and problems, faults and the process of how to respond</w:t>
      </w:r>
    </w:p>
    <w:p w:rsidR="00000000" w:rsidRPr="00CA22B7" w:rsidP="00CA22B7">
      <w:pPr>
        <w:pStyle w:val="ListBullet"/>
      </w:pPr>
      <w:r w:rsidRPr="00CA22B7">
        <w:t>personnel involved in a shutdown and their respective roles</w:t>
      </w:r>
    </w:p>
    <w:p w:rsidR="00000000" w:rsidRPr="00CA22B7" w:rsidP="00CA22B7">
      <w:pPr>
        <w:pStyle w:val="ListBullet"/>
      </w:pPr>
      <w:r w:rsidRPr="00CA22B7">
        <w:t>complex process drawings, including piping and</w:t>
      </w:r>
      <w:r w:rsidRPr="00CA22B7">
        <w:t xml:space="preserve"> instrumentation diagrams (P&amp;ID), probability of failure on demand (PFD)</w:t>
      </w:r>
    </w:p>
    <w:p w:rsidR="00000000" w:rsidRPr="00CA22B7" w:rsidP="00CA22B7">
      <w:pPr>
        <w:pStyle w:val="ListBullet"/>
      </w:pPr>
      <w:r w:rsidRPr="00CA22B7">
        <w:t xml:space="preserve">correct methods of starting, stopping, operating and controlling glass processing plants. </w:t>
      </w:r>
    </w:p>
    <w:p w:rsidR="00000000" w:rsidRPr="00CA22B7" w:rsidP="00CA22B7">
      <w:pPr>
        <w:pStyle w:val="AllowPageBreak"/>
      </w:pPr>
    </w:p>
    <w:p w:rsidR="00000000" w:rsidRPr="00CA22B7" w:rsidP="00CA22B7">
      <w:pPr>
        <w:pStyle w:val="Heading1"/>
      </w:pPr>
      <w:bookmarkStart w:id="12" w:name="O_1015794"/>
      <w:bookmarkEnd w:id="12"/>
      <w:r w:rsidRPr="00CA22B7">
        <w:t>Assessment Conditions</w:t>
      </w:r>
    </w:p>
    <w:p w:rsidR="00000000" w:rsidRPr="00CA22B7" w:rsidP="00BE560D">
      <w:pPr>
        <w:pStyle w:val="BodyText"/>
      </w:pPr>
      <w:r w:rsidRPr="00CA22B7">
        <w:t xml:space="preserve">Skills must have been demonstrated in a glass processing workplace. </w:t>
      </w:r>
    </w:p>
    <w:p w:rsidR="00000000" w:rsidRPr="00CA22B7" w:rsidP="00BE560D">
      <w:pPr>
        <w:pStyle w:val="BodyText"/>
      </w:pPr>
      <w:r w:rsidRPr="00CA22B7">
        <w:t>Assessors must satisfy the NVR/AQTF mandatory competency requirements for assessors.</w:t>
      </w:r>
    </w:p>
    <w:p w:rsidR="00000000" w:rsidRPr="00CA22B7" w:rsidP="00CA22B7">
      <w:pPr>
        <w:pStyle w:val="Heading1"/>
      </w:pPr>
      <w:bookmarkStart w:id="13" w:name="O_1015797"/>
      <w:bookmarkEnd w:id="13"/>
      <w:r w:rsidRPr="00CA22B7">
        <w:t>Links</w:t>
      </w:r>
    </w:p>
    <w:p w:rsidR="00000000" w:rsidRPr="00CA22B7" w:rsidP="00BE560D">
      <w:pPr>
        <w:pStyle w:val="BodyText"/>
      </w:pPr>
      <w:r w:rsidRPr="00CA22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5128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A22B7" w:rsidP="00CA22B7"/>
    <w:sectPr w:rsidSect="00CA22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B7" w:rsidRPr="00BE560D" w:rsidP="00BE5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0D" w:rsidP="00CA2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60D" w:rsidP="00CA2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560D" w:rsidP="00CA22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B7" w:rsidP="00CA2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560D">
      <w:t>Approved</w:t>
    </w:r>
    <w:r w:rsidR="00BE56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56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560D">
      <w:rPr>
        <w:noProof/>
      </w:rPr>
      <w:t>4</w:t>
    </w:r>
    <w:r>
      <w:rPr>
        <w:noProof/>
      </w:rPr>
      <w:fldChar w:fldCharType="end"/>
    </w:r>
  </w:p>
  <w:p w:rsidR="00CA22B7" w:rsidP="00CA2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56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560D">
      <w:t>Skills Insight</w:t>
    </w:r>
    <w:r w:rsidR="00BE560D">
      <w:fldChar w:fldCharType="end"/>
    </w:r>
  </w:p>
  <w:p w:rsidR="00CA22B7" w:rsidP="00CA2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2B7" w:rsidRPr="00BE560D" w:rsidP="00BE5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0D" w:rsidRPr="002D2AF8" w:rsidP="00CA2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MSFGG4015 Manage glass processing plant shutdown and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560D" w:rsidP="00CA22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B7" w:rsidRPr="002D2AF8" w:rsidP="00CA2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560D">
      <w:t>MSFGG4015 Manage glass processing plant shutdown and restart</w:t>
    </w:r>
    <w:r w:rsidR="00BE56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560D">
      <w:rPr>
        <w:noProof/>
      </w:rPr>
      <w:t>2 March 2025</w:t>
    </w:r>
    <w:r>
      <w:fldChar w:fldCharType="end"/>
    </w:r>
  </w:p>
  <w:p w:rsidR="00CA22B7" w:rsidP="00CA2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4EA5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C46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8853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2B7"/>
  </w:style>
  <w:style w:type="character" w:customStyle="1" w:styleId="Heading1Char">
    <w:name w:val="Heading 1 Char"/>
    <w:basedOn w:val="DefaultParagraphFont"/>
    <w:link w:val="Heading1"/>
    <w:rsid w:val="00CA2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2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2B7"/>
    <w:rPr>
      <w:b/>
      <w:spacing w:val="0"/>
    </w:rPr>
  </w:style>
  <w:style w:type="paragraph" w:styleId="ListBullet2">
    <w:name w:val="List Bullet 2"/>
    <w:basedOn w:val="List2"/>
    <w:rsid w:val="00CA22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22B7"/>
    <w:rPr>
      <w:i/>
    </w:rPr>
  </w:style>
  <w:style w:type="paragraph" w:customStyle="1" w:styleId="SuperHeading">
    <w:name w:val="SuperHeading"/>
    <w:basedOn w:val="Normal"/>
    <w:rsid w:val="00CA2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2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2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2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2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2B7"/>
  </w:style>
  <w:style w:type="paragraph" w:styleId="TableofFigures">
    <w:name w:val="table of figures"/>
    <w:basedOn w:val="Normal"/>
    <w:next w:val="Normal"/>
    <w:semiHidden/>
    <w:rsid w:val="00CA2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2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22B7"/>
    <w:rPr>
      <w:rFonts w:ascii="Wingdings" w:hAnsi="Wingdings"/>
    </w:rPr>
  </w:style>
  <w:style w:type="paragraph" w:customStyle="1" w:styleId="TableHeading">
    <w:name w:val="Table Heading"/>
    <w:basedOn w:val="HeadingBase"/>
    <w:rsid w:val="00CA2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2B7"/>
    <w:rPr>
      <w:color w:val="0033CC"/>
      <w:u w:val="none"/>
    </w:rPr>
  </w:style>
  <w:style w:type="paragraph" w:customStyle="1" w:styleId="BodyTextRight">
    <w:name w:val="Body Text Right"/>
    <w:basedOn w:val="BodyText"/>
    <w:rsid w:val="00CA2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2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2B7"/>
    <w:rPr>
      <w:sz w:val="32"/>
    </w:rPr>
  </w:style>
  <w:style w:type="paragraph" w:customStyle="1" w:styleId="HeadingProcedure">
    <w:name w:val="Heading Procedure"/>
    <w:basedOn w:val="HeadingBase"/>
    <w:next w:val="Normal"/>
    <w:rsid w:val="00CA2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2B7"/>
    <w:pPr>
      <w:spacing w:before="60" w:after="60"/>
    </w:pPr>
  </w:style>
  <w:style w:type="paragraph" w:styleId="ListContinue">
    <w:name w:val="List Continue"/>
    <w:basedOn w:val="List"/>
    <w:rsid w:val="00CA22B7"/>
    <w:pPr>
      <w:ind w:firstLine="0"/>
    </w:pPr>
  </w:style>
  <w:style w:type="paragraph" w:customStyle="1" w:styleId="ListNote">
    <w:name w:val="List Note"/>
    <w:basedOn w:val="List"/>
    <w:rsid w:val="00CA2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2B7"/>
    <w:rPr>
      <w:rFonts w:ascii="Courier New" w:hAnsi="Courier New"/>
    </w:rPr>
  </w:style>
  <w:style w:type="paragraph" w:customStyle="1" w:styleId="NoteBullet">
    <w:name w:val="Note Bullet"/>
    <w:basedOn w:val="Note"/>
    <w:rsid w:val="00CA2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2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2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2B7"/>
    <w:rPr>
      <w:b/>
      <w:smallCaps/>
    </w:rPr>
  </w:style>
  <w:style w:type="paragraph" w:customStyle="1" w:styleId="TableListNumber">
    <w:name w:val="Table List Number"/>
    <w:basedOn w:val="ListNumber"/>
    <w:rsid w:val="00CA2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2B7"/>
    <w:pPr>
      <w:numPr>
        <w:numId w:val="9"/>
      </w:numPr>
    </w:pPr>
  </w:style>
  <w:style w:type="paragraph" w:customStyle="1" w:styleId="ListAlpha2">
    <w:name w:val="List Alpha 2"/>
    <w:basedOn w:val="List2"/>
    <w:rsid w:val="00CA22B7"/>
    <w:pPr>
      <w:numPr>
        <w:numId w:val="8"/>
      </w:numPr>
    </w:pPr>
  </w:style>
  <w:style w:type="paragraph" w:styleId="List2">
    <w:name w:val="List 2"/>
    <w:basedOn w:val="BodyText"/>
    <w:rsid w:val="00CA2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2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2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22B7"/>
    <w:pPr>
      <w:numPr>
        <w:numId w:val="4"/>
      </w:numPr>
    </w:pPr>
  </w:style>
  <w:style w:type="paragraph" w:styleId="ListContinue2">
    <w:name w:val="List Continue 2"/>
    <w:basedOn w:val="List2"/>
    <w:rsid w:val="00CA22B7"/>
    <w:pPr>
      <w:ind w:firstLine="0"/>
    </w:pPr>
  </w:style>
  <w:style w:type="paragraph" w:styleId="ListContinue3">
    <w:name w:val="List Continue 3"/>
    <w:basedOn w:val="List3"/>
    <w:rsid w:val="00CA22B7"/>
    <w:pPr>
      <w:ind w:left="1021" w:firstLine="0"/>
    </w:pPr>
  </w:style>
  <w:style w:type="paragraph" w:styleId="ListContinue4">
    <w:name w:val="List Continue 4"/>
    <w:basedOn w:val="List4"/>
    <w:rsid w:val="00CA22B7"/>
    <w:pPr>
      <w:ind w:firstLine="0"/>
    </w:pPr>
  </w:style>
  <w:style w:type="paragraph" w:styleId="ListContinue5">
    <w:name w:val="List Continue 5"/>
    <w:basedOn w:val="List5"/>
    <w:rsid w:val="00CA22B7"/>
    <w:pPr>
      <w:ind w:firstLine="0"/>
    </w:pPr>
  </w:style>
  <w:style w:type="paragraph" w:styleId="ListNumber3">
    <w:name w:val="List Number 3"/>
    <w:basedOn w:val="List3"/>
    <w:rsid w:val="00CA22B7"/>
    <w:pPr>
      <w:numPr>
        <w:numId w:val="5"/>
      </w:numPr>
    </w:pPr>
  </w:style>
  <w:style w:type="paragraph" w:styleId="ListNumber4">
    <w:name w:val="List Number 4"/>
    <w:basedOn w:val="List4"/>
    <w:rsid w:val="00CA22B7"/>
    <w:pPr>
      <w:numPr>
        <w:numId w:val="6"/>
      </w:numPr>
    </w:pPr>
  </w:style>
  <w:style w:type="paragraph" w:styleId="ListNumber5">
    <w:name w:val="List Number 5"/>
    <w:basedOn w:val="List5"/>
    <w:rsid w:val="00CA22B7"/>
    <w:pPr>
      <w:numPr>
        <w:numId w:val="7"/>
      </w:numPr>
    </w:pPr>
  </w:style>
  <w:style w:type="paragraph" w:styleId="BlockText">
    <w:name w:val="Block Text"/>
    <w:basedOn w:val="Normal"/>
    <w:rsid w:val="00CA2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2B7"/>
    <w:rPr>
      <w:sz w:val="16"/>
      <w:vertAlign w:val="superscript"/>
    </w:rPr>
  </w:style>
  <w:style w:type="character" w:customStyle="1" w:styleId="Symbols">
    <w:name w:val="Symbols"/>
    <w:basedOn w:val="DefaultParagraphFont"/>
    <w:rsid w:val="00CA22B7"/>
    <w:rPr>
      <w:rFonts w:ascii="Symbol" w:hAnsi="Symbol"/>
    </w:rPr>
  </w:style>
  <w:style w:type="character" w:customStyle="1" w:styleId="MenuOptions">
    <w:name w:val="Menu Options"/>
    <w:basedOn w:val="DefaultParagraphFont"/>
    <w:rsid w:val="00CA2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2B7"/>
    <w:rPr>
      <w:b/>
    </w:rPr>
  </w:style>
  <w:style w:type="character" w:customStyle="1" w:styleId="Underlined">
    <w:name w:val="Underlined"/>
    <w:basedOn w:val="DefaultParagraphFont"/>
    <w:rsid w:val="00CA22B7"/>
    <w:rPr>
      <w:u w:val="single"/>
    </w:rPr>
  </w:style>
  <w:style w:type="paragraph" w:customStyle="1" w:styleId="TableBodyTextRight">
    <w:name w:val="Table Body Text Right"/>
    <w:basedOn w:val="TableBodyText"/>
    <w:rsid w:val="00CA2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2B7"/>
    <w:rPr>
      <w:sz w:val="18"/>
    </w:rPr>
  </w:style>
  <w:style w:type="paragraph" w:customStyle="1" w:styleId="BodySmallRight">
    <w:name w:val="Body Small Right"/>
    <w:basedOn w:val="BodyTextRight"/>
    <w:rsid w:val="00CA22B7"/>
    <w:rPr>
      <w:sz w:val="18"/>
      <w:szCs w:val="18"/>
    </w:rPr>
  </w:style>
  <w:style w:type="paragraph" w:customStyle="1" w:styleId="MarginEdition">
    <w:name w:val="Margin Edition"/>
    <w:basedOn w:val="MarginNote"/>
    <w:rsid w:val="00CA2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2B7"/>
    <w:rPr>
      <w:sz w:val="2"/>
      <w:szCs w:val="2"/>
    </w:rPr>
  </w:style>
  <w:style w:type="character" w:customStyle="1" w:styleId="Small">
    <w:name w:val="Small"/>
    <w:basedOn w:val="DefaultParagraphFont"/>
    <w:rsid w:val="00CA22B7"/>
    <w:rPr>
      <w:sz w:val="16"/>
    </w:rPr>
  </w:style>
  <w:style w:type="paragraph" w:customStyle="1" w:styleId="WideTable">
    <w:name w:val="Wide Table"/>
    <w:basedOn w:val="Normal"/>
    <w:rsid w:val="00CA2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2B7"/>
  </w:style>
  <w:style w:type="paragraph" w:styleId="Quote">
    <w:name w:val="Quote"/>
    <w:basedOn w:val="Heading1"/>
    <w:link w:val="QuoteChar"/>
    <w:qFormat/>
    <w:rsid w:val="00CA2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2B7"/>
    <w:pPr>
      <w:pageBreakBefore/>
    </w:pPr>
  </w:style>
  <w:style w:type="paragraph" w:customStyle="1" w:styleId="Border">
    <w:name w:val="Border"/>
    <w:basedOn w:val="Normal"/>
    <w:qFormat/>
    <w:rsid w:val="00CA2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2B7"/>
    <w:rPr>
      <w:u w:val="single"/>
    </w:rPr>
  </w:style>
  <w:style w:type="character" w:customStyle="1" w:styleId="BoldandItalics">
    <w:name w:val="Bold and Italics"/>
    <w:qFormat/>
    <w:rsid w:val="00CA22B7"/>
    <w:rPr>
      <w:b/>
      <w:i/>
      <w:u w:val="none"/>
    </w:rPr>
  </w:style>
  <w:style w:type="paragraph" w:styleId="BalloonText">
    <w:name w:val="Balloon Text"/>
    <w:basedOn w:val="Normal"/>
    <w:link w:val="BalloonTextChar"/>
    <w:rsid w:val="00CA2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2B7"/>
    <w:pPr>
      <w:spacing w:before="0" w:after="0"/>
    </w:pPr>
  </w:style>
  <w:style w:type="paragraph" w:customStyle="1" w:styleId="BodyTextBold">
    <w:name w:val="Body Text Bold"/>
    <w:basedOn w:val="BodyText"/>
    <w:qFormat/>
    <w:rsid w:val="00CA22B7"/>
    <w:rPr>
      <w:b/>
    </w:rPr>
  </w:style>
  <w:style w:type="character" w:styleId="Hyperlink">
    <w:name w:val="Hyperlink"/>
    <w:basedOn w:val="DefaultParagraphFont"/>
    <w:uiPriority w:val="99"/>
    <w:unhideWhenUsed/>
    <w:rsid w:val="00BE5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4646</Characters>
  <Application>Microsoft Office Word</Application>
  <DocSecurity>0</DocSecurity>
  <Lines>129</Lines>
  <Paragraphs>85</Paragraphs>
  <ScaleCrop>false</ScaleCrop>
  <Company>Author-it Software Corporation Ltd.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MSFGG4015 Manage glass processing plant shutdown and restart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