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713" w:rsidP="00DE7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MSFGG4010 Use glass industry data systems</w:t>
      </w:r>
      <w:r>
        <w:fldChar w:fldCharType="end"/>
      </w:r>
    </w:p>
    <w:p w:rsidR="00DE7713" w:rsidP="00DE7713">
      <w:pPr>
        <w:pStyle w:val="Version"/>
        <w:sectPr w:rsidSect="00B33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A3E" w:rsidP="00B33A3E">
      <w:pPr>
        <w:pStyle w:val="SuperHeading"/>
      </w:pPr>
      <w:r w:rsidRPr="00B33A3E">
        <w:t>MSFGG4010 Use glass industry data systems</w:t>
      </w:r>
    </w:p>
    <w:p w:rsidR="00000000" w:rsidRPr="00B33A3E" w:rsidP="00B33A3E">
      <w:pPr>
        <w:pStyle w:val="Heading1"/>
      </w:pPr>
      <w:bookmarkStart w:id="1" w:name="O_1012181"/>
      <w:bookmarkEnd w:id="1"/>
      <w:r w:rsidRPr="00B33A3E">
        <w:t>Modification History</w:t>
      </w:r>
    </w:p>
    <w:p w:rsidR="00000000" w:rsidRPr="00B33A3E" w:rsidP="00DE7713">
      <w:pPr>
        <w:pStyle w:val="BodyText"/>
      </w:pPr>
      <w:r w:rsidRPr="00B33A3E">
        <w:t>Release 1. Supersedes and is equivalent to MSFGG4002 Use glass industry data systems.</w:t>
      </w:r>
    </w:p>
    <w:p w:rsidR="00000000" w:rsidRPr="00B33A3E" w:rsidP="00B33A3E">
      <w:pPr>
        <w:pStyle w:val="Heading1"/>
      </w:pPr>
      <w:bookmarkStart w:id="2" w:name="O_1012182"/>
      <w:bookmarkEnd w:id="2"/>
      <w:r w:rsidRPr="00B33A3E">
        <w:t>Application</w:t>
      </w:r>
    </w:p>
    <w:p w:rsidR="00000000" w:rsidRPr="00B33A3E" w:rsidP="00DE7713">
      <w:pPr>
        <w:pStyle w:val="BodyText"/>
      </w:pPr>
      <w:r w:rsidRPr="00B33A3E">
        <w:t>This unit describes the skills and knowledge required to use a specialised glass industry software system. Software sy</w:t>
      </w:r>
      <w:r w:rsidRPr="00B33A3E">
        <w:t>stems are diverse in nature and may be those used for estimating, design, inventory or sales.</w:t>
      </w:r>
    </w:p>
    <w:p w:rsidR="00000000" w:rsidRPr="00B33A3E" w:rsidP="00DE7713">
      <w:pPr>
        <w:pStyle w:val="BodyText"/>
      </w:pPr>
      <w:r w:rsidRPr="00B33A3E">
        <w:t>This unit applies to individuals in glass and glazing enterprises who perform specialist or leadership functions.</w:t>
      </w:r>
    </w:p>
    <w:p w:rsidR="00000000" w:rsidRPr="00B33A3E" w:rsidP="00DE7713">
      <w:pPr>
        <w:pStyle w:val="BodyText"/>
      </w:pPr>
      <w:r w:rsidRPr="00B33A3E">
        <w:t>No licensing or certification requirements exist</w:t>
      </w:r>
      <w:r w:rsidRPr="00B33A3E">
        <w:t xml:space="preserve"> at the time of publication. Relevant legislation, industry standards and codes of practice within Australia must be applied.</w:t>
      </w:r>
    </w:p>
    <w:p w:rsidR="00000000" w:rsidRPr="00B33A3E" w:rsidP="00B33A3E">
      <w:pPr>
        <w:pStyle w:val="Heading1"/>
      </w:pPr>
      <w:bookmarkStart w:id="3" w:name="O_1012183"/>
      <w:bookmarkEnd w:id="3"/>
      <w:r w:rsidRPr="00B33A3E">
        <w:t>Pre-requisite Unit</w:t>
      </w:r>
    </w:p>
    <w:p w:rsidR="00000000" w:rsidRPr="00B33A3E" w:rsidP="00DE7713">
      <w:pPr>
        <w:pStyle w:val="BodyText"/>
      </w:pPr>
      <w:r w:rsidRPr="00B33A3E">
        <w:t>N/A</w:t>
      </w:r>
    </w:p>
    <w:p w:rsidR="00000000" w:rsidRPr="00B33A3E" w:rsidP="00B33A3E">
      <w:pPr>
        <w:pStyle w:val="Heading1"/>
      </w:pPr>
      <w:bookmarkStart w:id="4" w:name="O_1012185"/>
      <w:bookmarkEnd w:id="4"/>
      <w:r w:rsidRPr="00B33A3E">
        <w:t>Unit Sector</w:t>
      </w:r>
    </w:p>
    <w:p w:rsidR="00000000" w:rsidRPr="00B33A3E" w:rsidP="00DE7713">
      <w:pPr>
        <w:pStyle w:val="BodyText"/>
      </w:pPr>
      <w:r w:rsidRPr="00B33A3E">
        <w:t>Glass and Glazing.</w:t>
      </w:r>
    </w:p>
    <w:p w:rsidR="00000000" w:rsidRPr="00B33A3E" w:rsidP="00B33A3E">
      <w:pPr>
        <w:pStyle w:val="Heading1"/>
      </w:pPr>
      <w:bookmarkStart w:id="5" w:name="O_1012186"/>
      <w:bookmarkEnd w:id="5"/>
      <w:r w:rsidRPr="00B33A3E">
        <w:t>Elements and Perfor</w:t>
      </w:r>
      <w:r w:rsidRPr="00B33A3E">
        <w:t>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E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E" w:rsidP="00B33A3E">
            <w:pPr>
              <w:pStyle w:val="BodyText"/>
            </w:pPr>
            <w:r w:rsidRPr="00B33A3E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rPr>
                <w:rStyle w:val="SpecialBold"/>
              </w:rPr>
              <w:t>Performance Criteria</w:t>
            </w:r>
          </w:p>
        </w:tc>
      </w:tr>
      <w:tr w:rsidTr="00DE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E" w:rsidP="00B33A3E">
            <w:pPr>
              <w:pStyle w:val="BodyText"/>
            </w:pPr>
            <w:r w:rsidRPr="00B33A3E">
              <w:rPr>
                <w:rStyle w:val="Emphasis"/>
              </w:rPr>
              <w:t xml:space="preserve">Elements describe the </w:t>
            </w:r>
            <w:r w:rsidRPr="00B33A3E">
              <w:t xml:space="preserve">essential </w:t>
            </w:r>
            <w:r w:rsidRPr="00B33A3E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t>1. Select data system and information for work role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E" w:rsidP="00B33A3E">
            <w:pPr>
              <w:pStyle w:val="BodyText"/>
            </w:pPr>
            <w:r w:rsidRPr="00B33A3E">
              <w:t>1.</w:t>
            </w:r>
            <w:r w:rsidRPr="00B33A3E">
              <w:t>1 Identify specialist software for data and workplace information needs and determine its application to work role</w:t>
            </w:r>
          </w:p>
          <w:p w:rsidR="00000000" w:rsidRPr="00B33A3E" w:rsidP="00B33A3E">
            <w:pPr>
              <w:pStyle w:val="BodyText"/>
            </w:pPr>
            <w:r w:rsidRPr="00B33A3E">
              <w:t>1.2 Assess and confirm data entered in the system is accurate</w:t>
            </w:r>
          </w:p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t>1.3 Open data system and log on operator for the work</w:t>
            </w:r>
          </w:p>
        </w:tc>
      </w:tr>
      <w:tr w:rsidTr="00DE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t xml:space="preserve">2. Enter and manipulate </w:t>
            </w:r>
            <w:r w:rsidRPr="00B33A3E">
              <w:t>data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E" w:rsidP="00B33A3E">
            <w:pPr>
              <w:pStyle w:val="BodyText"/>
            </w:pPr>
            <w:r w:rsidRPr="00B33A3E">
              <w:t>2.1 Enter data into the system and navigate the system to meet work requirements</w:t>
            </w:r>
          </w:p>
          <w:p w:rsidR="00000000" w:rsidRPr="00B33A3E" w:rsidP="00B33A3E">
            <w:pPr>
              <w:pStyle w:val="BodyText"/>
            </w:pPr>
            <w:r w:rsidRPr="00B33A3E">
              <w:t>2.2 Check entered or edited data for accuracy</w:t>
            </w:r>
          </w:p>
          <w:p w:rsidR="00000000" w:rsidRPr="00B33A3E" w:rsidP="00B33A3E">
            <w:pPr>
              <w:pStyle w:val="BodyText"/>
            </w:pPr>
            <w:r w:rsidRPr="00B33A3E">
              <w:t>2.3 Effectively use features of the system in the manipulation, processing and presentation of data</w:t>
            </w:r>
          </w:p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t>2.4 Transfer data betwee</w:t>
            </w:r>
            <w:r w:rsidRPr="00B33A3E">
              <w:t>n applications, linking and embedding related data files, in accordance with work requirements</w:t>
            </w:r>
          </w:p>
        </w:tc>
      </w:tr>
      <w:tr w:rsidTr="00DE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t>3. Generate reports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E" w:rsidP="00B33A3E">
            <w:pPr>
              <w:pStyle w:val="BodyText"/>
            </w:pPr>
            <w:r w:rsidRPr="00B33A3E">
              <w:t xml:space="preserve">3.1 Generate processed data in the correct format </w:t>
            </w:r>
          </w:p>
          <w:p w:rsidR="00000000" w:rsidRPr="00B33A3E" w:rsidP="00B33A3E">
            <w:pPr>
              <w:pStyle w:val="BodyText"/>
            </w:pPr>
            <w:r w:rsidRPr="00B33A3E">
              <w:t>3.2 Check generated reports and other documentation for accuracy and completeness of info</w:t>
            </w:r>
            <w:r w:rsidRPr="00B33A3E">
              <w:t>rmation</w:t>
            </w:r>
          </w:p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t>3.3 Identify and correct any data or processing errors before completion</w:t>
            </w:r>
          </w:p>
        </w:tc>
      </w:tr>
      <w:tr w:rsidTr="00DE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t>4. Save data and exit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E" w:rsidP="00B33A3E">
            <w:pPr>
              <w:pStyle w:val="BodyText"/>
            </w:pPr>
            <w:r w:rsidRPr="00B33A3E">
              <w:t>4.1 Save and store data in appropriate directory or folder in accordance with workplace procedures</w:t>
            </w:r>
          </w:p>
          <w:p w:rsidR="00000000" w:rsidRPr="00B33A3E" w:rsidP="00B33A3E">
            <w:pPr>
              <w:pStyle w:val="BodyText"/>
            </w:pPr>
            <w:r w:rsidRPr="00B33A3E">
              <w:t>4.2 Close file and exit application without loss of data</w:t>
            </w:r>
          </w:p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t>4.3 Back up reports and other data in accordance with workplace procedures</w:t>
            </w:r>
          </w:p>
        </w:tc>
      </w:tr>
      <w:tr w:rsidTr="00DE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E">
            <w:pPr>
              <w:pStyle w:val="BodyText"/>
              <w:rPr>
                <w:lang w:val="en-NZ"/>
              </w:rPr>
            </w:pPr>
            <w:r w:rsidRPr="00B33A3E">
              <w:t>5. Respond to problems with the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E" w:rsidP="00B33A3E">
            <w:pPr>
              <w:pStyle w:val="BodyText"/>
            </w:pPr>
            <w:r w:rsidRPr="00B33A3E">
              <w:t>5.1 Recognise faults that occur during data entry, processing and outputting</w:t>
            </w:r>
          </w:p>
          <w:p w:rsidR="00000000" w:rsidRPr="00B33A3E" w:rsidP="00B33A3E">
            <w:pPr>
              <w:pStyle w:val="BodyText"/>
            </w:pPr>
            <w:r w:rsidRPr="00B33A3E">
              <w:t>5.2 Ide</w:t>
            </w:r>
            <w:r w:rsidRPr="00B33A3E">
              <w:t>ntify causes of data processing faults and take appropriate action</w:t>
            </w:r>
          </w:p>
          <w:p w:rsidR="00000000" w:rsidRPr="00B33A3E" w:rsidP="00B33A3E">
            <w:pPr>
              <w:pStyle w:val="BodyText"/>
            </w:pPr>
            <w:r w:rsidRPr="00B33A3E">
              <w:t>5.3 Log and report problems in accordance with workplace procedures</w:t>
            </w:r>
          </w:p>
        </w:tc>
      </w:tr>
    </w:tbl>
    <w:p w:rsidR="00000000" w:rsidRPr="00B33A3E" w:rsidP="00B33A3E">
      <w:pPr>
        <w:pStyle w:val="BodyText"/>
      </w:pPr>
    </w:p>
    <w:p w:rsidR="00000000" w:rsidRPr="00B33A3E" w:rsidP="00B33A3E">
      <w:pPr>
        <w:pStyle w:val="AllowPageBreak"/>
      </w:pPr>
    </w:p>
    <w:p w:rsidR="00000000" w:rsidRPr="00B33A3E" w:rsidP="00B33A3E">
      <w:pPr>
        <w:pStyle w:val="Heading1"/>
      </w:pPr>
      <w:bookmarkStart w:id="6" w:name="O_1012187"/>
      <w:bookmarkEnd w:id="6"/>
      <w:r w:rsidRPr="00B33A3E">
        <w:t>Foundation Skills</w:t>
      </w:r>
    </w:p>
    <w:p w:rsidR="00000000" w:rsidRPr="00B33A3E" w:rsidP="00B33A3E">
      <w:pPr>
        <w:pStyle w:val="Heading1"/>
      </w:pPr>
      <w:bookmarkStart w:id="7" w:name="O_1012189"/>
      <w:bookmarkEnd w:id="7"/>
      <w:r w:rsidRPr="00B33A3E">
        <w:t>Unit Mapping Information</w:t>
      </w:r>
    </w:p>
    <w:p w:rsidR="00000000" w:rsidRPr="00B33A3E" w:rsidP="00DE7713">
      <w:pPr>
        <w:pStyle w:val="BodyText"/>
      </w:pPr>
      <w:r w:rsidRPr="00B33A3E">
        <w:t>Supersedes and is equivalent to MSFGG40</w:t>
      </w:r>
      <w:r w:rsidRPr="00B33A3E">
        <w:t>02 Use glass industry data systems.</w:t>
      </w:r>
    </w:p>
    <w:p w:rsidR="00000000" w:rsidRPr="00B33A3E" w:rsidP="00B33A3E">
      <w:pPr>
        <w:pStyle w:val="Heading1"/>
      </w:pPr>
      <w:bookmarkStart w:id="8" w:name="O_1012196"/>
      <w:bookmarkEnd w:id="8"/>
      <w:r w:rsidRPr="00B33A3E">
        <w:t>Links</w:t>
      </w:r>
    </w:p>
    <w:p w:rsidR="00000000" w:rsidRPr="00B33A3E" w:rsidP="00DE7713">
      <w:pPr>
        <w:pStyle w:val="BodyText"/>
      </w:pPr>
      <w:r w:rsidRPr="00B33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D027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33A3E" w:rsidP="00DE7713">
      <w:pPr>
        <w:pStyle w:val="BodyText"/>
        <w:sectPr w:rsidSect="00B33A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3A3E" w:rsidP="00B33A3E">
      <w:pPr>
        <w:pStyle w:val="SuperHeading"/>
      </w:pPr>
      <w:r w:rsidRPr="00B33A3E">
        <w:t>Assessment Requirements for MSFGG4010 Use glass industry data systems</w:t>
      </w:r>
    </w:p>
    <w:p w:rsidR="00000000" w:rsidRPr="00B33A3E" w:rsidP="00B33A3E">
      <w:pPr>
        <w:pStyle w:val="Heading1"/>
      </w:pPr>
      <w:bookmarkStart w:id="9" w:name="O_1012191"/>
      <w:bookmarkEnd w:id="9"/>
      <w:r w:rsidRPr="00B33A3E">
        <w:t>Modification History</w:t>
      </w:r>
    </w:p>
    <w:p w:rsidR="00DE7713" w:rsidP="00DE7713">
      <w:pPr>
        <w:pStyle w:val="BodyText"/>
      </w:pPr>
      <w:r w:rsidRPr="00B33A3E">
        <w:t>Release 1. Supersedes and is equivalent to MSFGG4002 Use glass industry data systems.</w:t>
      </w:r>
    </w:p>
    <w:p w:rsidR="00000000" w:rsidRPr="00B33A3E" w:rsidP="00B33A3E">
      <w:pPr>
        <w:pStyle w:val="Heading1"/>
      </w:pPr>
      <w:bookmarkStart w:id="10" w:name="O_1012192"/>
      <w:bookmarkEnd w:id="10"/>
      <w:r w:rsidRPr="00B33A3E">
        <w:t>Performance Evidence</w:t>
      </w:r>
    </w:p>
    <w:p w:rsidR="00000000" w:rsidRPr="00B33A3E" w:rsidP="00DE7713">
      <w:pPr>
        <w:pStyle w:val="BodyText"/>
      </w:pPr>
      <w:r w:rsidRPr="00B33A3E">
        <w:t>There must be evide</w:t>
      </w:r>
      <w:r w:rsidRPr="00B33A3E">
        <w:t xml:space="preserve">nce the candidate has completed the tasks outlined in the elements and performance criteria of this unit, and: </w:t>
      </w:r>
    </w:p>
    <w:p w:rsidR="00000000" w:rsidRPr="00B33A3E" w:rsidP="00B33A3E">
      <w:pPr>
        <w:pStyle w:val="ListBullet"/>
      </w:pPr>
      <w:r w:rsidRPr="00B33A3E">
        <w:t>used a specialised glass and glazing software application to generate documentation and/or reports for 3 three different jobs or work situation</w:t>
      </w:r>
      <w:r w:rsidRPr="00B33A3E">
        <w:t>s.</w:t>
      </w:r>
    </w:p>
    <w:p w:rsidR="00000000" w:rsidRPr="00B33A3E" w:rsidP="00B33A3E">
      <w:pPr>
        <w:pStyle w:val="AllowPageBreak"/>
      </w:pPr>
    </w:p>
    <w:p w:rsidR="00000000" w:rsidRPr="00B33A3E" w:rsidP="00B33A3E">
      <w:pPr>
        <w:pStyle w:val="Heading1"/>
      </w:pPr>
      <w:bookmarkStart w:id="11" w:name="O_1012193"/>
      <w:bookmarkEnd w:id="11"/>
      <w:r w:rsidRPr="00B33A3E">
        <w:t>Knowledge Evidence</w:t>
      </w:r>
    </w:p>
    <w:p w:rsidR="00000000" w:rsidRPr="00B33A3E" w:rsidP="00DE7713">
      <w:pPr>
        <w:pStyle w:val="BodyText"/>
      </w:pPr>
      <w:r w:rsidRPr="00B33A3E">
        <w:t>There must be evidence the candidate has knowledge of:</w:t>
      </w:r>
    </w:p>
    <w:p w:rsidR="00000000" w:rsidRPr="00B33A3E" w:rsidP="00B33A3E">
      <w:pPr>
        <w:pStyle w:val="ListBullet"/>
      </w:pPr>
      <w:r w:rsidRPr="00B33A3E">
        <w:t>glass industry standards and codes of practice</w:t>
      </w:r>
    </w:p>
    <w:p w:rsidR="00000000" w:rsidRPr="00B33A3E" w:rsidP="00B33A3E">
      <w:pPr>
        <w:pStyle w:val="ListBullet"/>
      </w:pPr>
      <w:r w:rsidRPr="00B33A3E">
        <w:t xml:space="preserve">types, features and capabilities of glass industry software applications available for different purposes </w:t>
      </w:r>
    </w:p>
    <w:p w:rsidR="00000000" w:rsidRPr="00B33A3E" w:rsidP="00B33A3E">
      <w:pPr>
        <w:pStyle w:val="ListBullet"/>
      </w:pPr>
      <w:r w:rsidRPr="00B33A3E">
        <w:t>detai</w:t>
      </w:r>
      <w:r w:rsidRPr="00B33A3E">
        <w:t>led operating procedures and capabilities of one specialised software application</w:t>
      </w:r>
    </w:p>
    <w:p w:rsidR="00000000" w:rsidRPr="00B33A3E" w:rsidP="00B33A3E">
      <w:pPr>
        <w:pStyle w:val="ListBullet"/>
      </w:pPr>
      <w:r w:rsidRPr="00B33A3E">
        <w:t xml:space="preserve">processes for identifying and responding to faults related to: </w:t>
      </w:r>
    </w:p>
    <w:p w:rsidR="00000000" w:rsidRPr="00B33A3E" w:rsidP="00B33A3E">
      <w:pPr>
        <w:pStyle w:val="ListBullet2"/>
      </w:pPr>
      <w:r w:rsidRPr="00B33A3E">
        <w:t>incorrect or misleading data</w:t>
      </w:r>
    </w:p>
    <w:p w:rsidR="00000000" w:rsidRPr="00B33A3E" w:rsidP="00B33A3E">
      <w:pPr>
        <w:pStyle w:val="ListBullet2"/>
      </w:pPr>
      <w:r w:rsidRPr="00B33A3E">
        <w:t>system software</w:t>
      </w:r>
    </w:p>
    <w:p w:rsidR="00000000" w:rsidRPr="00B33A3E" w:rsidP="00B33A3E">
      <w:pPr>
        <w:pStyle w:val="ListBullet2"/>
      </w:pPr>
      <w:r w:rsidRPr="00B33A3E">
        <w:t>system equipment.</w:t>
      </w:r>
    </w:p>
    <w:p w:rsidR="00000000" w:rsidRPr="00B33A3E" w:rsidP="00B33A3E">
      <w:pPr>
        <w:pStyle w:val="AllowPageBreak"/>
      </w:pPr>
    </w:p>
    <w:p w:rsidR="00000000" w:rsidRPr="00B33A3E" w:rsidP="00B33A3E">
      <w:pPr>
        <w:pStyle w:val="Heading1"/>
      </w:pPr>
      <w:bookmarkStart w:id="12" w:name="O_1012194"/>
      <w:bookmarkEnd w:id="12"/>
      <w:r w:rsidRPr="00B33A3E">
        <w:t>Assessment Conditions</w:t>
      </w:r>
    </w:p>
    <w:p w:rsidR="00000000" w:rsidRPr="00B33A3E" w:rsidP="00DE7713">
      <w:pPr>
        <w:pStyle w:val="BodyText"/>
      </w:pPr>
      <w:r w:rsidRPr="00B33A3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33A3E" w:rsidP="00B33A3E">
      <w:pPr>
        <w:pStyle w:val="ListBullet"/>
      </w:pPr>
      <w:r w:rsidRPr="00B33A3E">
        <w:t xml:space="preserve">use of suitable facilities, equipment and resources, including: </w:t>
      </w:r>
    </w:p>
    <w:p w:rsidR="00000000" w:rsidRPr="00B33A3E" w:rsidP="00B33A3E">
      <w:pPr>
        <w:pStyle w:val="ListBullet2"/>
      </w:pPr>
      <w:r w:rsidRPr="00B33A3E">
        <w:t>computers and software applications used in the glass and glazing industry</w:t>
      </w:r>
    </w:p>
    <w:p w:rsidR="00000000" w:rsidRPr="00B33A3E" w:rsidP="00B33A3E">
      <w:pPr>
        <w:pStyle w:val="ListBullet2"/>
      </w:pPr>
      <w:r w:rsidRPr="00B33A3E">
        <w:t>data for management within the system</w:t>
      </w:r>
    </w:p>
    <w:p w:rsidR="00000000" w:rsidRPr="00B33A3E" w:rsidP="00B33A3E">
      <w:pPr>
        <w:pStyle w:val="ListBullet2"/>
      </w:pPr>
      <w:r w:rsidRPr="00B33A3E">
        <w:t>workplace procedures.</w:t>
      </w:r>
    </w:p>
    <w:p w:rsidR="00000000" w:rsidRPr="00B33A3E" w:rsidP="00DE7713">
      <w:pPr>
        <w:pStyle w:val="BodyText"/>
      </w:pPr>
      <w:r w:rsidRPr="00B33A3E">
        <w:t>Assessors must satisfy the NVR/AQTF mandatory competency requirements for assessors.</w:t>
      </w:r>
    </w:p>
    <w:p w:rsidR="00000000" w:rsidRPr="00B33A3E" w:rsidP="00B33A3E">
      <w:pPr>
        <w:pStyle w:val="Heading1"/>
      </w:pPr>
      <w:bookmarkStart w:id="13" w:name="O_1012197"/>
      <w:bookmarkEnd w:id="13"/>
      <w:r w:rsidRPr="00B33A3E">
        <w:t>Links</w:t>
      </w:r>
    </w:p>
    <w:p w:rsidR="00000000" w:rsidRPr="00B33A3E" w:rsidP="00DE7713">
      <w:pPr>
        <w:pStyle w:val="BodyText"/>
      </w:pPr>
      <w:r w:rsidRPr="00B33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D027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33A3E" w:rsidP="00B33A3E"/>
    <w:sectPr w:rsidSect="00B33A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E" w:rsidRPr="00DE7713" w:rsidP="00DE7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13" w:rsidP="00B33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713" w:rsidP="00B33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7713" w:rsidP="00B33A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E" w:rsidP="00B33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7713">
      <w:t>Approved</w:t>
    </w:r>
    <w:r w:rsidR="00DE77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77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7713">
      <w:rPr>
        <w:noProof/>
      </w:rPr>
      <w:t>4</w:t>
    </w:r>
    <w:r>
      <w:rPr>
        <w:noProof/>
      </w:rPr>
      <w:fldChar w:fldCharType="end"/>
    </w:r>
  </w:p>
  <w:p w:rsidR="00B33A3E" w:rsidP="00B33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77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7713">
      <w:t>Skills Insight</w:t>
    </w:r>
    <w:r w:rsidR="00DE7713">
      <w:fldChar w:fldCharType="end"/>
    </w:r>
  </w:p>
  <w:p w:rsidR="00B33A3E" w:rsidP="00B33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A3E" w:rsidRPr="00DE7713" w:rsidP="00DE7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13" w:rsidRPr="002D2AF8" w:rsidP="00B33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MSFGG4010 Use glass industry data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7713" w:rsidP="00B33A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E" w:rsidRPr="002D2AF8" w:rsidP="00B33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7713">
      <w:t>MSFGG4010 Use glass industry data systems</w:t>
    </w:r>
    <w:r w:rsidR="00DE77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7713">
      <w:rPr>
        <w:noProof/>
      </w:rPr>
      <w:t>2 March 2025</w:t>
    </w:r>
    <w:r>
      <w:fldChar w:fldCharType="end"/>
    </w:r>
  </w:p>
  <w:p w:rsidR="00B33A3E" w:rsidP="00B33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10D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C8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E5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A3E"/>
  </w:style>
  <w:style w:type="character" w:customStyle="1" w:styleId="Heading1Char">
    <w:name w:val="Heading 1 Char"/>
    <w:basedOn w:val="DefaultParagraphFont"/>
    <w:link w:val="Heading1"/>
    <w:rsid w:val="00B33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A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A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A3E"/>
    <w:rPr>
      <w:b/>
      <w:spacing w:val="0"/>
    </w:rPr>
  </w:style>
  <w:style w:type="paragraph" w:styleId="ListBullet2">
    <w:name w:val="List Bullet 2"/>
    <w:basedOn w:val="List2"/>
    <w:rsid w:val="00B33A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3A3E"/>
    <w:rPr>
      <w:i/>
    </w:rPr>
  </w:style>
  <w:style w:type="paragraph" w:customStyle="1" w:styleId="SuperHeading">
    <w:name w:val="SuperHeading"/>
    <w:basedOn w:val="Normal"/>
    <w:rsid w:val="00B33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A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A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A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A3E"/>
  </w:style>
  <w:style w:type="paragraph" w:styleId="TableofFigures">
    <w:name w:val="table of figures"/>
    <w:basedOn w:val="Normal"/>
    <w:next w:val="Normal"/>
    <w:semiHidden/>
    <w:rsid w:val="00B33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A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A3E"/>
    <w:rPr>
      <w:rFonts w:ascii="Wingdings" w:hAnsi="Wingdings"/>
    </w:rPr>
  </w:style>
  <w:style w:type="paragraph" w:customStyle="1" w:styleId="TableHeading">
    <w:name w:val="Table Heading"/>
    <w:basedOn w:val="HeadingBase"/>
    <w:rsid w:val="00B33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A3E"/>
    <w:rPr>
      <w:color w:val="0033CC"/>
      <w:u w:val="none"/>
    </w:rPr>
  </w:style>
  <w:style w:type="paragraph" w:customStyle="1" w:styleId="BodyTextRight">
    <w:name w:val="Body Text Right"/>
    <w:basedOn w:val="BodyText"/>
    <w:rsid w:val="00B33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A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A3E"/>
    <w:rPr>
      <w:sz w:val="32"/>
    </w:rPr>
  </w:style>
  <w:style w:type="paragraph" w:customStyle="1" w:styleId="HeadingProcedure">
    <w:name w:val="Heading Procedure"/>
    <w:basedOn w:val="HeadingBase"/>
    <w:next w:val="Normal"/>
    <w:rsid w:val="00B33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A3E"/>
    <w:pPr>
      <w:spacing w:before="60" w:after="60"/>
    </w:pPr>
  </w:style>
  <w:style w:type="paragraph" w:styleId="ListContinue">
    <w:name w:val="List Continue"/>
    <w:basedOn w:val="List"/>
    <w:rsid w:val="00B33A3E"/>
    <w:pPr>
      <w:ind w:firstLine="0"/>
    </w:pPr>
  </w:style>
  <w:style w:type="paragraph" w:customStyle="1" w:styleId="ListNote">
    <w:name w:val="List Note"/>
    <w:basedOn w:val="List"/>
    <w:rsid w:val="00B33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A3E"/>
    <w:rPr>
      <w:rFonts w:ascii="Courier New" w:hAnsi="Courier New"/>
    </w:rPr>
  </w:style>
  <w:style w:type="paragraph" w:customStyle="1" w:styleId="NoteBullet">
    <w:name w:val="Note Bullet"/>
    <w:basedOn w:val="Note"/>
    <w:rsid w:val="00B33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A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A3E"/>
    <w:rPr>
      <w:b/>
      <w:smallCaps/>
    </w:rPr>
  </w:style>
  <w:style w:type="paragraph" w:customStyle="1" w:styleId="TableListNumber">
    <w:name w:val="Table List Number"/>
    <w:basedOn w:val="ListNumber"/>
    <w:rsid w:val="00B33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A3E"/>
    <w:pPr>
      <w:numPr>
        <w:numId w:val="9"/>
      </w:numPr>
    </w:pPr>
  </w:style>
  <w:style w:type="paragraph" w:customStyle="1" w:styleId="ListAlpha2">
    <w:name w:val="List Alpha 2"/>
    <w:basedOn w:val="List2"/>
    <w:rsid w:val="00B33A3E"/>
    <w:pPr>
      <w:numPr>
        <w:numId w:val="8"/>
      </w:numPr>
    </w:pPr>
  </w:style>
  <w:style w:type="paragraph" w:styleId="List2">
    <w:name w:val="List 2"/>
    <w:basedOn w:val="BodyText"/>
    <w:rsid w:val="00B33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A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A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A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A3E"/>
    <w:pPr>
      <w:numPr>
        <w:numId w:val="4"/>
      </w:numPr>
    </w:pPr>
  </w:style>
  <w:style w:type="paragraph" w:styleId="ListContinue2">
    <w:name w:val="List Continue 2"/>
    <w:basedOn w:val="List2"/>
    <w:rsid w:val="00B33A3E"/>
    <w:pPr>
      <w:ind w:firstLine="0"/>
    </w:pPr>
  </w:style>
  <w:style w:type="paragraph" w:styleId="ListContinue3">
    <w:name w:val="List Continue 3"/>
    <w:basedOn w:val="List3"/>
    <w:rsid w:val="00B33A3E"/>
    <w:pPr>
      <w:ind w:left="1021" w:firstLine="0"/>
    </w:pPr>
  </w:style>
  <w:style w:type="paragraph" w:styleId="ListContinue4">
    <w:name w:val="List Continue 4"/>
    <w:basedOn w:val="List4"/>
    <w:rsid w:val="00B33A3E"/>
    <w:pPr>
      <w:ind w:firstLine="0"/>
    </w:pPr>
  </w:style>
  <w:style w:type="paragraph" w:styleId="ListContinue5">
    <w:name w:val="List Continue 5"/>
    <w:basedOn w:val="List5"/>
    <w:rsid w:val="00B33A3E"/>
    <w:pPr>
      <w:ind w:firstLine="0"/>
    </w:pPr>
  </w:style>
  <w:style w:type="paragraph" w:styleId="ListNumber3">
    <w:name w:val="List Number 3"/>
    <w:basedOn w:val="List3"/>
    <w:rsid w:val="00B33A3E"/>
    <w:pPr>
      <w:numPr>
        <w:numId w:val="5"/>
      </w:numPr>
    </w:pPr>
  </w:style>
  <w:style w:type="paragraph" w:styleId="ListNumber4">
    <w:name w:val="List Number 4"/>
    <w:basedOn w:val="List4"/>
    <w:rsid w:val="00B33A3E"/>
    <w:pPr>
      <w:numPr>
        <w:numId w:val="6"/>
      </w:numPr>
    </w:pPr>
  </w:style>
  <w:style w:type="paragraph" w:styleId="ListNumber5">
    <w:name w:val="List Number 5"/>
    <w:basedOn w:val="List5"/>
    <w:rsid w:val="00B33A3E"/>
    <w:pPr>
      <w:numPr>
        <w:numId w:val="7"/>
      </w:numPr>
    </w:pPr>
  </w:style>
  <w:style w:type="paragraph" w:styleId="BlockText">
    <w:name w:val="Block Text"/>
    <w:basedOn w:val="Normal"/>
    <w:rsid w:val="00B33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A3E"/>
    <w:rPr>
      <w:sz w:val="16"/>
      <w:vertAlign w:val="superscript"/>
    </w:rPr>
  </w:style>
  <w:style w:type="character" w:customStyle="1" w:styleId="Symbols">
    <w:name w:val="Symbols"/>
    <w:basedOn w:val="DefaultParagraphFont"/>
    <w:rsid w:val="00B33A3E"/>
    <w:rPr>
      <w:rFonts w:ascii="Symbol" w:hAnsi="Symbol"/>
    </w:rPr>
  </w:style>
  <w:style w:type="character" w:customStyle="1" w:styleId="MenuOptions">
    <w:name w:val="Menu Options"/>
    <w:basedOn w:val="DefaultParagraphFont"/>
    <w:rsid w:val="00B33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A3E"/>
    <w:rPr>
      <w:b/>
    </w:rPr>
  </w:style>
  <w:style w:type="character" w:customStyle="1" w:styleId="Underlined">
    <w:name w:val="Underlined"/>
    <w:basedOn w:val="DefaultParagraphFont"/>
    <w:rsid w:val="00B33A3E"/>
    <w:rPr>
      <w:u w:val="single"/>
    </w:rPr>
  </w:style>
  <w:style w:type="paragraph" w:customStyle="1" w:styleId="TableBodyTextRight">
    <w:name w:val="Table Body Text Right"/>
    <w:basedOn w:val="TableBodyText"/>
    <w:rsid w:val="00B33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A3E"/>
    <w:rPr>
      <w:sz w:val="18"/>
    </w:rPr>
  </w:style>
  <w:style w:type="paragraph" w:customStyle="1" w:styleId="BodySmallRight">
    <w:name w:val="Body Small Right"/>
    <w:basedOn w:val="BodyTextRight"/>
    <w:rsid w:val="00B33A3E"/>
    <w:rPr>
      <w:sz w:val="18"/>
      <w:szCs w:val="18"/>
    </w:rPr>
  </w:style>
  <w:style w:type="paragraph" w:customStyle="1" w:styleId="MarginEdition">
    <w:name w:val="Margin Edition"/>
    <w:basedOn w:val="MarginNote"/>
    <w:rsid w:val="00B33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A3E"/>
    <w:rPr>
      <w:sz w:val="2"/>
      <w:szCs w:val="2"/>
    </w:rPr>
  </w:style>
  <w:style w:type="character" w:customStyle="1" w:styleId="Small">
    <w:name w:val="Small"/>
    <w:basedOn w:val="DefaultParagraphFont"/>
    <w:rsid w:val="00B33A3E"/>
    <w:rPr>
      <w:sz w:val="16"/>
    </w:rPr>
  </w:style>
  <w:style w:type="paragraph" w:customStyle="1" w:styleId="WideTable">
    <w:name w:val="Wide Table"/>
    <w:basedOn w:val="Normal"/>
    <w:rsid w:val="00B33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A3E"/>
  </w:style>
  <w:style w:type="paragraph" w:styleId="Quote">
    <w:name w:val="Quote"/>
    <w:basedOn w:val="Heading1"/>
    <w:link w:val="QuoteChar"/>
    <w:qFormat/>
    <w:rsid w:val="00B33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A3E"/>
    <w:pPr>
      <w:pageBreakBefore/>
    </w:pPr>
  </w:style>
  <w:style w:type="paragraph" w:customStyle="1" w:styleId="Border">
    <w:name w:val="Border"/>
    <w:basedOn w:val="Normal"/>
    <w:qFormat/>
    <w:rsid w:val="00B33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A3E"/>
    <w:rPr>
      <w:u w:val="single"/>
    </w:rPr>
  </w:style>
  <w:style w:type="character" w:customStyle="1" w:styleId="BoldandItalics">
    <w:name w:val="Bold and Italics"/>
    <w:qFormat/>
    <w:rsid w:val="00B33A3E"/>
    <w:rPr>
      <w:b/>
      <w:i/>
      <w:u w:val="none"/>
    </w:rPr>
  </w:style>
  <w:style w:type="paragraph" w:styleId="BalloonText">
    <w:name w:val="Balloon Text"/>
    <w:basedOn w:val="Normal"/>
    <w:link w:val="BalloonTextChar"/>
    <w:rsid w:val="00B33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A3E"/>
    <w:pPr>
      <w:spacing w:before="0" w:after="0"/>
    </w:pPr>
  </w:style>
  <w:style w:type="paragraph" w:customStyle="1" w:styleId="BodyTextBold">
    <w:name w:val="Body Text Bold"/>
    <w:basedOn w:val="BodyText"/>
    <w:qFormat/>
    <w:rsid w:val="00B33A3E"/>
    <w:rPr>
      <w:b/>
    </w:rPr>
  </w:style>
  <w:style w:type="character" w:styleId="Hyperlink">
    <w:name w:val="Hyperlink"/>
    <w:basedOn w:val="DefaultParagraphFont"/>
    <w:uiPriority w:val="99"/>
    <w:unhideWhenUsed/>
    <w:rsid w:val="00DE7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3881</Characters>
  <Application>Microsoft Office Word</Application>
  <DocSecurity>0</DocSecurity>
  <Lines>121</Lines>
  <Paragraphs>83</Paragraphs>
  <ScaleCrop>false</ScaleCrop>
  <Company>Author-it Software Corporation Ltd.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MSFGG4010 Use glass industry data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2025-03-02T01:49:00Z</dcterms:created>
  <dcterms:modified xsi:type="dcterms:W3CDTF">2025-03-02T01:49:00Z</dcterms:modified>
</cp:coreProperties>
</file>