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0F0" w:rsidP="009010F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MSFGG4009 Apply standards and codes of practice for the glass industry</w:t>
      </w:r>
      <w:r>
        <w:fldChar w:fldCharType="end"/>
      </w:r>
    </w:p>
    <w:p w:rsidR="009010F0" w:rsidP="009010F0">
      <w:pPr>
        <w:pStyle w:val="Version"/>
        <w:sectPr w:rsidSect="007A76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76B1" w:rsidP="007A76B1">
      <w:pPr>
        <w:pStyle w:val="SuperHeading"/>
      </w:pPr>
      <w:r w:rsidRPr="007A76B1">
        <w:t>Assessment Requirements for MSFGG4009 Apply standards and codes of practice for the glass industry</w:t>
      </w:r>
    </w:p>
    <w:p w:rsidR="00000000" w:rsidRPr="007A76B1" w:rsidP="007A76B1">
      <w:pPr>
        <w:pStyle w:val="Heading1"/>
      </w:pPr>
      <w:bookmarkStart w:id="1" w:name="O_1015662"/>
      <w:bookmarkEnd w:id="1"/>
      <w:r w:rsidRPr="007A76B1">
        <w:t>Modification History</w:t>
      </w:r>
    </w:p>
    <w:p w:rsidR="009010F0" w:rsidP="009010F0">
      <w:pPr>
        <w:pStyle w:val="BodyText"/>
      </w:pPr>
      <w:r w:rsidRPr="007A76B1">
        <w:t>Release 1. Supersedes and is equivalent to MSFGG4001 Apply standards and codes of practice for the glass industry.</w:t>
      </w:r>
    </w:p>
    <w:p w:rsidR="00000000" w:rsidRPr="007A76B1" w:rsidP="007A76B1">
      <w:pPr>
        <w:pStyle w:val="Heading1"/>
      </w:pPr>
      <w:bookmarkStart w:id="2" w:name="O_1015663"/>
      <w:bookmarkEnd w:id="2"/>
      <w:r w:rsidRPr="007A76B1">
        <w:t>Performance Evidence</w:t>
      </w:r>
    </w:p>
    <w:p w:rsidR="00000000" w:rsidRPr="007A76B1" w:rsidP="009010F0">
      <w:pPr>
        <w:pStyle w:val="BodyText"/>
      </w:pPr>
      <w:r w:rsidRPr="007A76B1">
        <w:t xml:space="preserve">There must be evidence the candidate has completed the tasks outlined in the elements and performance criteria of this unit, and: </w:t>
      </w:r>
    </w:p>
    <w:p w:rsidR="00000000" w:rsidRPr="007A76B1" w:rsidP="007A76B1">
      <w:pPr>
        <w:pStyle w:val="ListBullet"/>
      </w:pPr>
      <w:r w:rsidRPr="007A76B1">
        <w:t>assessed requirements and developed documentation that complies with Australian Stand</w:t>
      </w:r>
      <w:r w:rsidRPr="007A76B1">
        <w:t>ards (AS) for jobs that individually or cumulatively involve glass and glazing for:</w:t>
      </w:r>
    </w:p>
    <w:p w:rsidR="00000000" w:rsidRPr="007A76B1" w:rsidP="007A76B1">
      <w:pPr>
        <w:pStyle w:val="ListBullet2"/>
      </w:pPr>
      <w:r w:rsidRPr="007A76B1">
        <w:t>stairways</w:t>
      </w:r>
    </w:p>
    <w:p w:rsidR="00000000" w:rsidRPr="007A76B1" w:rsidP="007A76B1">
      <w:pPr>
        <w:pStyle w:val="ListBullet2"/>
      </w:pPr>
      <w:r w:rsidRPr="007A76B1">
        <w:t>balustrading</w:t>
      </w:r>
    </w:p>
    <w:p w:rsidR="00000000" w:rsidRPr="007A76B1" w:rsidP="007A76B1">
      <w:pPr>
        <w:pStyle w:val="ListBullet2"/>
      </w:pPr>
      <w:r w:rsidRPr="007A76B1">
        <w:t>sloped or overhead glass</w:t>
      </w:r>
    </w:p>
    <w:p w:rsidR="00000000" w:rsidRPr="007A76B1" w:rsidP="007A76B1">
      <w:pPr>
        <w:pStyle w:val="ListBullet2"/>
      </w:pPr>
      <w:r w:rsidRPr="007A76B1">
        <w:t>5-star rated buildings</w:t>
      </w:r>
    </w:p>
    <w:p w:rsidR="00000000" w:rsidRPr="007A76B1" w:rsidP="007A76B1">
      <w:pPr>
        <w:pStyle w:val="ListBullet2"/>
      </w:pPr>
      <w:r w:rsidRPr="007A76B1">
        <w:t>fire-rate applications</w:t>
      </w:r>
    </w:p>
    <w:p w:rsidR="00000000" w:rsidRPr="007A76B1" w:rsidP="007A76B1">
      <w:pPr>
        <w:pStyle w:val="ListBullet2"/>
      </w:pPr>
      <w:r w:rsidRPr="007A76B1">
        <w:t>curtain walls and/or facades</w:t>
      </w:r>
    </w:p>
    <w:p w:rsidR="00000000" w:rsidRPr="007A76B1" w:rsidP="007A76B1">
      <w:pPr>
        <w:pStyle w:val="ListBullet2"/>
      </w:pPr>
      <w:r w:rsidRPr="007A76B1">
        <w:t>partitions.</w:t>
      </w:r>
    </w:p>
    <w:p w:rsidR="00000000" w:rsidRPr="007A76B1" w:rsidP="007A76B1">
      <w:pPr>
        <w:pStyle w:val="AllowPageBreak"/>
      </w:pPr>
    </w:p>
    <w:p w:rsidR="00000000" w:rsidRPr="007A76B1" w:rsidP="007A76B1">
      <w:pPr>
        <w:pStyle w:val="Heading1"/>
      </w:pPr>
      <w:bookmarkStart w:id="3" w:name="O_1015664"/>
      <w:bookmarkEnd w:id="3"/>
      <w:r w:rsidRPr="007A76B1">
        <w:t>Knowledge Evidence</w:t>
      </w:r>
    </w:p>
    <w:p w:rsidR="00000000" w:rsidRPr="007A76B1" w:rsidP="009010F0">
      <w:pPr>
        <w:pStyle w:val="BodyText"/>
      </w:pPr>
      <w:r w:rsidRPr="007A76B1">
        <w:t>There must be evidence the candidate has knowledge of:</w:t>
      </w:r>
    </w:p>
    <w:p w:rsidR="00000000" w:rsidRPr="007A76B1" w:rsidP="007A76B1">
      <w:pPr>
        <w:pStyle w:val="ListBullet"/>
      </w:pPr>
      <w:r w:rsidRPr="007A76B1">
        <w:t>scope and nature of workplace documentation that informs evaluation of work requirements:</w:t>
      </w:r>
    </w:p>
    <w:p w:rsidR="00000000" w:rsidRPr="007A76B1" w:rsidP="007A76B1">
      <w:pPr>
        <w:pStyle w:val="ListBullet2"/>
      </w:pPr>
      <w:r w:rsidRPr="007A76B1">
        <w:t>specialist technical specifications</w:t>
      </w:r>
    </w:p>
    <w:p w:rsidR="00000000" w:rsidRPr="007A76B1" w:rsidP="007A76B1">
      <w:pPr>
        <w:pStyle w:val="ListBullet2"/>
      </w:pPr>
      <w:r w:rsidRPr="007A76B1">
        <w:t>client brief</w:t>
      </w:r>
    </w:p>
    <w:p w:rsidR="00000000" w:rsidRPr="007A76B1" w:rsidP="007A76B1">
      <w:pPr>
        <w:pStyle w:val="ListBullet2"/>
      </w:pPr>
      <w:r w:rsidRPr="007A76B1">
        <w:t>location of work</w:t>
      </w:r>
    </w:p>
    <w:p w:rsidR="00000000" w:rsidRPr="007A76B1" w:rsidP="007A76B1">
      <w:pPr>
        <w:pStyle w:val="ListBullet"/>
      </w:pPr>
      <w:r w:rsidRPr="007A76B1">
        <w:t>key aspects of:</w:t>
      </w:r>
    </w:p>
    <w:p w:rsidR="00000000" w:rsidRPr="007A76B1" w:rsidP="007A76B1">
      <w:pPr>
        <w:pStyle w:val="ListBullet2"/>
      </w:pPr>
      <w:r w:rsidRPr="007A76B1">
        <w:t>AS 128</w:t>
      </w:r>
      <w:r w:rsidRPr="007A76B1">
        <w:t>8: sections 6, 7 and 9</w:t>
      </w:r>
    </w:p>
    <w:p w:rsidR="00000000" w:rsidRPr="007A76B1" w:rsidP="007A76B1">
      <w:pPr>
        <w:pStyle w:val="ListBullet2"/>
      </w:pPr>
      <w:r w:rsidRPr="007A76B1">
        <w:t>AS/NZS 2208: all sections</w:t>
      </w:r>
    </w:p>
    <w:p w:rsidR="00000000" w:rsidRPr="007A76B1" w:rsidP="007A76B1">
      <w:pPr>
        <w:pStyle w:val="ListBullet2"/>
      </w:pPr>
      <w:r w:rsidRPr="007A76B1">
        <w:t>AS/NZS 1170: all sections</w:t>
      </w:r>
    </w:p>
    <w:p w:rsidR="00000000" w:rsidRPr="007A76B1" w:rsidP="007A76B1">
      <w:pPr>
        <w:pStyle w:val="ListBullet2"/>
      </w:pPr>
      <w:r w:rsidRPr="007A76B1">
        <w:t>AS/NZS 4667: all sections</w:t>
      </w:r>
    </w:p>
    <w:p w:rsidR="00000000" w:rsidRPr="007A76B1" w:rsidP="007A76B1">
      <w:pPr>
        <w:pStyle w:val="ListBullet2"/>
      </w:pPr>
      <w:r w:rsidRPr="007A76B1">
        <w:t>AS/NZS 4668: all sections</w:t>
      </w:r>
    </w:p>
    <w:p w:rsidR="00000000" w:rsidRPr="007A76B1" w:rsidP="007A76B1">
      <w:pPr>
        <w:pStyle w:val="ListBullet2"/>
      </w:pPr>
      <w:r w:rsidRPr="007A76B1">
        <w:t>National Construction Code (NCC) references to windows and doors in buildings</w:t>
      </w:r>
    </w:p>
    <w:p w:rsidR="00000000" w:rsidRPr="007A76B1" w:rsidP="007A76B1">
      <w:pPr>
        <w:pStyle w:val="ListBullet"/>
      </w:pPr>
      <w:r w:rsidRPr="007A76B1">
        <w:t>workplace safety system req</w:t>
      </w:r>
      <w:r w:rsidRPr="007A76B1">
        <w:t xml:space="preserve">uirements related to the handling and installation of glass and glazing products that impact specification development </w:t>
      </w:r>
    </w:p>
    <w:p w:rsidR="00000000" w:rsidRPr="007A76B1" w:rsidP="007A76B1">
      <w:pPr>
        <w:pStyle w:val="ListBullet"/>
      </w:pPr>
      <w:r w:rsidRPr="007A76B1">
        <w:t xml:space="preserve">types, characteristics uses and limitations of different glass, including issues related to: </w:t>
      </w:r>
    </w:p>
    <w:p w:rsidR="00000000" w:rsidRPr="007A76B1" w:rsidP="007A76B1">
      <w:pPr>
        <w:pStyle w:val="ListBullet2"/>
      </w:pPr>
      <w:r w:rsidRPr="007A76B1">
        <w:t>aspect ratios</w:t>
      </w:r>
    </w:p>
    <w:p w:rsidR="00000000" w:rsidRPr="007A76B1" w:rsidP="007A76B1">
      <w:pPr>
        <w:pStyle w:val="ListBullet2"/>
      </w:pPr>
      <w:r w:rsidRPr="007A76B1">
        <w:t>energy efficiency</w:t>
      </w:r>
    </w:p>
    <w:p w:rsidR="00000000" w:rsidRPr="007A76B1" w:rsidP="007A76B1">
      <w:pPr>
        <w:pStyle w:val="ListBullet2"/>
      </w:pPr>
      <w:r w:rsidRPr="007A76B1">
        <w:t>installat</w:t>
      </w:r>
      <w:r w:rsidRPr="007A76B1">
        <w:t>ion methods</w:t>
      </w:r>
    </w:p>
    <w:p w:rsidR="00000000" w:rsidRPr="007A76B1" w:rsidP="007A76B1">
      <w:pPr>
        <w:pStyle w:val="ListBullet2"/>
      </w:pPr>
      <w:r w:rsidRPr="007A76B1">
        <w:t>thermals</w:t>
      </w:r>
    </w:p>
    <w:p w:rsidR="00000000" w:rsidRPr="007A76B1" w:rsidP="007A76B1">
      <w:pPr>
        <w:pStyle w:val="ListBullet2"/>
      </w:pPr>
      <w:r w:rsidRPr="007A76B1">
        <w:t>tolerances</w:t>
      </w:r>
    </w:p>
    <w:p w:rsidR="00000000" w:rsidRPr="007A76B1" w:rsidP="007A76B1">
      <w:pPr>
        <w:pStyle w:val="ListBullet2"/>
      </w:pPr>
      <w:r w:rsidRPr="007A76B1">
        <w:t>wind loadings</w:t>
      </w:r>
    </w:p>
    <w:p w:rsidR="00000000" w:rsidRPr="007A76B1" w:rsidP="007A76B1">
      <w:pPr>
        <w:pStyle w:val="ListBullet"/>
      </w:pPr>
      <w:r w:rsidRPr="007A76B1">
        <w:t>current and emerging trends and developments in glass and glazing, including:</w:t>
      </w:r>
    </w:p>
    <w:p w:rsidR="00000000" w:rsidRPr="007A76B1" w:rsidP="007A76B1">
      <w:pPr>
        <w:pStyle w:val="ListBullet2"/>
      </w:pPr>
      <w:r w:rsidRPr="007A76B1">
        <w:t>products</w:t>
      </w:r>
    </w:p>
    <w:p w:rsidR="00000000" w:rsidRPr="007A76B1" w:rsidP="007A76B1">
      <w:pPr>
        <w:pStyle w:val="ListBullet2"/>
      </w:pPr>
      <w:r w:rsidRPr="007A76B1">
        <w:t xml:space="preserve">techniques and/or applications </w:t>
      </w:r>
    </w:p>
    <w:p w:rsidR="00000000" w:rsidRPr="007A76B1" w:rsidP="007A76B1">
      <w:pPr>
        <w:pStyle w:val="ListBullet"/>
      </w:pPr>
      <w:r w:rsidRPr="007A76B1">
        <w:t>sources of specialist glass and glazing technical advice</w:t>
      </w:r>
    </w:p>
    <w:p w:rsidR="00000000" w:rsidRPr="007A76B1" w:rsidP="007A76B1">
      <w:pPr>
        <w:pStyle w:val="ListBullet"/>
      </w:pPr>
      <w:r w:rsidRPr="007A76B1">
        <w:t>workplace procedures for develo</w:t>
      </w:r>
      <w:r w:rsidRPr="007A76B1">
        <w:t>pment of specifications, including:</w:t>
      </w:r>
    </w:p>
    <w:p w:rsidR="00000000" w:rsidRPr="007A76B1" w:rsidP="007A76B1">
      <w:pPr>
        <w:pStyle w:val="ListBullet2"/>
      </w:pPr>
      <w:r w:rsidRPr="007A76B1">
        <w:t>format</w:t>
      </w:r>
    </w:p>
    <w:p w:rsidR="00000000" w:rsidRPr="007A76B1" w:rsidP="007A76B1">
      <w:pPr>
        <w:pStyle w:val="ListBullet2"/>
      </w:pPr>
      <w:r w:rsidRPr="007A76B1">
        <w:t>required inclusions</w:t>
      </w:r>
    </w:p>
    <w:p w:rsidR="00000000" w:rsidRPr="007A76B1" w:rsidP="007A76B1">
      <w:pPr>
        <w:pStyle w:val="ListBullet2"/>
      </w:pPr>
      <w:r w:rsidRPr="007A76B1">
        <w:t>technical drawings</w:t>
      </w:r>
    </w:p>
    <w:p w:rsidR="00000000" w:rsidRPr="007A76B1" w:rsidP="007A76B1">
      <w:pPr>
        <w:pStyle w:val="ListBullet2"/>
      </w:pPr>
      <w:r w:rsidRPr="007A76B1">
        <w:t>document control</w:t>
      </w:r>
    </w:p>
    <w:p w:rsidR="00000000" w:rsidRPr="007A76B1" w:rsidP="007A76B1">
      <w:pPr>
        <w:pStyle w:val="ListBullet"/>
      </w:pPr>
      <w:r w:rsidRPr="007A76B1">
        <w:t>range of people or parties potentially involved in glass and glazing work and typical interactions required:</w:t>
      </w:r>
    </w:p>
    <w:p w:rsidR="00000000" w:rsidRPr="007A76B1" w:rsidP="007A76B1">
      <w:pPr>
        <w:pStyle w:val="ListBullet2"/>
      </w:pPr>
      <w:r w:rsidRPr="007A76B1">
        <w:t>architects</w:t>
      </w:r>
    </w:p>
    <w:p w:rsidR="00000000" w:rsidRPr="007A76B1" w:rsidP="007A76B1">
      <w:pPr>
        <w:pStyle w:val="ListBullet2"/>
      </w:pPr>
      <w:r w:rsidRPr="007A76B1">
        <w:t>builders</w:t>
      </w:r>
    </w:p>
    <w:p w:rsidR="00000000" w:rsidRPr="007A76B1" w:rsidP="007A76B1">
      <w:pPr>
        <w:pStyle w:val="ListBullet2"/>
      </w:pPr>
      <w:r w:rsidRPr="007A76B1">
        <w:t>customer</w:t>
      </w:r>
    </w:p>
    <w:p w:rsidR="00000000" w:rsidRPr="007A76B1" w:rsidP="007A76B1">
      <w:pPr>
        <w:pStyle w:val="ListBullet2"/>
      </w:pPr>
      <w:r w:rsidRPr="007A76B1">
        <w:t>engineers</w:t>
      </w:r>
    </w:p>
    <w:p w:rsidR="00000000" w:rsidRPr="007A76B1" w:rsidP="007A76B1">
      <w:pPr>
        <w:pStyle w:val="ListBullet2"/>
      </w:pPr>
      <w:r w:rsidRPr="007A76B1">
        <w:t>internal staff</w:t>
      </w:r>
    </w:p>
    <w:p w:rsidR="00000000" w:rsidRPr="007A76B1" w:rsidP="007A76B1">
      <w:pPr>
        <w:pStyle w:val="ListBullet2"/>
      </w:pPr>
      <w:r w:rsidRPr="007A76B1">
        <w:t>product developers and/or suppliers</w:t>
      </w:r>
    </w:p>
    <w:p w:rsidR="00000000" w:rsidRPr="007A76B1" w:rsidP="007A76B1">
      <w:pPr>
        <w:pStyle w:val="ListBullet2"/>
      </w:pPr>
      <w:r w:rsidRPr="007A76B1">
        <w:t>logistics personnel</w:t>
      </w:r>
    </w:p>
    <w:p w:rsidR="009010F0" w:rsidP="007A76B1">
      <w:pPr>
        <w:pStyle w:val="ListBullet"/>
      </w:pPr>
      <w:r w:rsidRPr="007A76B1">
        <w:t>communication protocols for the approval and dissemination of work specifications and other information to external parties.</w:t>
      </w:r>
    </w:p>
    <w:p w:rsidR="009010F0" w:rsidP="007A76B1">
      <w:pPr>
        <w:pStyle w:val="ListBullet"/>
      </w:pPr>
    </w:p>
    <w:p w:rsidR="00000000" w:rsidRPr="007A76B1" w:rsidP="007A76B1">
      <w:pPr>
        <w:pStyle w:val="Heading1"/>
      </w:pPr>
      <w:bookmarkStart w:id="4" w:name="O_1015665"/>
      <w:bookmarkEnd w:id="4"/>
      <w:r w:rsidRPr="007A76B1">
        <w:t>Assessment Conditions</w:t>
      </w:r>
    </w:p>
    <w:p w:rsidR="00000000" w:rsidRPr="007A76B1" w:rsidP="009010F0">
      <w:pPr>
        <w:pStyle w:val="BodyText"/>
      </w:pPr>
      <w:r w:rsidRPr="007A76B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A76B1" w:rsidP="007A76B1">
      <w:pPr>
        <w:pStyle w:val="ListBullet"/>
      </w:pPr>
      <w:r w:rsidRPr="007A76B1">
        <w:t xml:space="preserve">use of suitable facilities, equipment and resources, including: </w:t>
      </w:r>
    </w:p>
    <w:p w:rsidR="00000000" w:rsidRPr="007A76B1" w:rsidP="007A76B1">
      <w:pPr>
        <w:pStyle w:val="ListBullet2"/>
      </w:pPr>
      <w:r w:rsidRPr="007A76B1">
        <w:t>details of glass and glazing work requirements as specified in the Performance Evidence</w:t>
      </w:r>
    </w:p>
    <w:p w:rsidR="00000000" w:rsidRPr="007A76B1" w:rsidP="007A76B1">
      <w:pPr>
        <w:pStyle w:val="ListBullet2"/>
      </w:pPr>
      <w:r w:rsidRPr="007A76B1">
        <w:t>AS/NZS documentation as detailed in the Knowledge Evidence</w:t>
      </w:r>
    </w:p>
    <w:p w:rsidR="00000000" w:rsidRPr="007A76B1" w:rsidP="007A76B1">
      <w:pPr>
        <w:pStyle w:val="ListBullet2"/>
      </w:pPr>
      <w:r w:rsidRPr="007A76B1">
        <w:t>product information</w:t>
      </w:r>
    </w:p>
    <w:p w:rsidR="00000000" w:rsidRPr="007A76B1" w:rsidP="007A76B1">
      <w:pPr>
        <w:pStyle w:val="ListBullet2"/>
      </w:pPr>
      <w:r w:rsidRPr="007A76B1">
        <w:t>workplace procedures.</w:t>
      </w:r>
    </w:p>
    <w:p w:rsidR="00000000" w:rsidRPr="007A76B1" w:rsidP="009010F0">
      <w:pPr>
        <w:pStyle w:val="BodyText"/>
      </w:pPr>
      <w:r w:rsidRPr="007A76B1">
        <w:t>Assessors must satisfy the NVR/AQTF mandatory competency requiremen</w:t>
      </w:r>
      <w:r w:rsidRPr="007A76B1">
        <w:t>ts for assessors.</w:t>
      </w:r>
    </w:p>
    <w:p w:rsidR="00000000" w:rsidRPr="007A76B1" w:rsidP="007A76B1">
      <w:pPr>
        <w:pStyle w:val="Heading1"/>
      </w:pPr>
      <w:bookmarkStart w:id="5" w:name="O_1015668"/>
      <w:bookmarkEnd w:id="5"/>
      <w:r w:rsidRPr="007A76B1">
        <w:t>Links</w:t>
      </w:r>
    </w:p>
    <w:p w:rsidR="00000000" w:rsidRPr="007A76B1" w:rsidP="009010F0">
      <w:pPr>
        <w:pStyle w:val="BodyText"/>
      </w:pPr>
      <w:r w:rsidRPr="007A76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72E5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A76B1" w:rsidP="007A76B1"/>
    <w:sectPr w:rsidSect="007A76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B1" w:rsidRPr="009010F0" w:rsidP="009010F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F0" w:rsidP="007A76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10F0" w:rsidP="007A76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10F0" w:rsidP="007A76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6B1" w:rsidRPr="009010F0" w:rsidP="009010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F0" w:rsidRPr="002D2AF8" w:rsidP="007A76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MSFGG4009 Apply standards and codes of practice for the glass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9010F0" w:rsidP="007A76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F881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32B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46E9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6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6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6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6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6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6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6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6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6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6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6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6B1"/>
  </w:style>
  <w:style w:type="character" w:customStyle="1" w:styleId="Heading1Char">
    <w:name w:val="Heading 1 Char"/>
    <w:basedOn w:val="DefaultParagraphFont"/>
    <w:link w:val="Heading1"/>
    <w:rsid w:val="007A76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6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6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76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76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76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6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76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6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6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6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6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6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6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6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6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6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6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6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6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6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76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76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76B1"/>
    <w:rPr>
      <w:b/>
      <w:spacing w:val="0"/>
    </w:rPr>
  </w:style>
  <w:style w:type="paragraph" w:customStyle="1" w:styleId="SuperTitle">
    <w:name w:val="SuperTitle"/>
    <w:basedOn w:val="Title"/>
    <w:rsid w:val="007A76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6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6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76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6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6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6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6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6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6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6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6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76B1"/>
    <w:rPr>
      <w:i/>
    </w:rPr>
  </w:style>
  <w:style w:type="paragraph" w:styleId="Caption">
    <w:name w:val="caption"/>
    <w:basedOn w:val="BodyText"/>
    <w:next w:val="Normal"/>
    <w:qFormat/>
    <w:rsid w:val="007A76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6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6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6B1"/>
  </w:style>
  <w:style w:type="paragraph" w:styleId="TableofFigures">
    <w:name w:val="table of figures"/>
    <w:basedOn w:val="Normal"/>
    <w:next w:val="Normal"/>
    <w:semiHidden/>
    <w:rsid w:val="007A76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6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76B1"/>
    <w:rPr>
      <w:rFonts w:ascii="Wingdings" w:hAnsi="Wingdings"/>
    </w:rPr>
  </w:style>
  <w:style w:type="paragraph" w:customStyle="1" w:styleId="TableHeading">
    <w:name w:val="Table Heading"/>
    <w:basedOn w:val="HeadingBase"/>
    <w:rsid w:val="007A76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6B1"/>
    <w:rPr>
      <w:color w:val="0033CC"/>
      <w:u w:val="none"/>
    </w:rPr>
  </w:style>
  <w:style w:type="paragraph" w:customStyle="1" w:styleId="BodyTextRight">
    <w:name w:val="Body Text Right"/>
    <w:basedOn w:val="BodyText"/>
    <w:rsid w:val="007A76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6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6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6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6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6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6B1"/>
    <w:rPr>
      <w:sz w:val="32"/>
    </w:rPr>
  </w:style>
  <w:style w:type="paragraph" w:customStyle="1" w:styleId="HeadingProcedure">
    <w:name w:val="Heading Procedure"/>
    <w:basedOn w:val="HeadingBase"/>
    <w:next w:val="Normal"/>
    <w:rsid w:val="007A76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6B1"/>
    <w:pPr>
      <w:spacing w:before="60" w:after="60"/>
    </w:pPr>
  </w:style>
  <w:style w:type="paragraph" w:styleId="ListContinue">
    <w:name w:val="List Continue"/>
    <w:basedOn w:val="List"/>
    <w:rsid w:val="007A76B1"/>
    <w:pPr>
      <w:ind w:firstLine="0"/>
    </w:pPr>
  </w:style>
  <w:style w:type="paragraph" w:customStyle="1" w:styleId="ListNote">
    <w:name w:val="List Note"/>
    <w:basedOn w:val="List"/>
    <w:rsid w:val="007A76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6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6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6B1"/>
    <w:rPr>
      <w:rFonts w:ascii="Courier New" w:hAnsi="Courier New"/>
    </w:rPr>
  </w:style>
  <w:style w:type="paragraph" w:customStyle="1" w:styleId="NoteBullet">
    <w:name w:val="Note Bullet"/>
    <w:basedOn w:val="Note"/>
    <w:rsid w:val="007A76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6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6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6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6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76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6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6B1"/>
    <w:rPr>
      <w:b/>
      <w:smallCaps/>
    </w:rPr>
  </w:style>
  <w:style w:type="paragraph" w:customStyle="1" w:styleId="TableListNumber">
    <w:name w:val="Table List Number"/>
    <w:basedOn w:val="ListNumber"/>
    <w:rsid w:val="007A76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6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6B1"/>
    <w:pPr>
      <w:numPr>
        <w:numId w:val="9"/>
      </w:numPr>
    </w:pPr>
  </w:style>
  <w:style w:type="paragraph" w:customStyle="1" w:styleId="ListAlpha2">
    <w:name w:val="List Alpha 2"/>
    <w:basedOn w:val="List2"/>
    <w:rsid w:val="007A76B1"/>
    <w:pPr>
      <w:numPr>
        <w:numId w:val="8"/>
      </w:numPr>
    </w:pPr>
  </w:style>
  <w:style w:type="paragraph" w:styleId="List2">
    <w:name w:val="List 2"/>
    <w:basedOn w:val="BodyText"/>
    <w:rsid w:val="007A76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6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6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6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6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6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76B1"/>
    <w:pPr>
      <w:numPr>
        <w:numId w:val="4"/>
      </w:numPr>
    </w:pPr>
  </w:style>
  <w:style w:type="paragraph" w:styleId="ListContinue2">
    <w:name w:val="List Continue 2"/>
    <w:basedOn w:val="List2"/>
    <w:rsid w:val="007A76B1"/>
    <w:pPr>
      <w:ind w:firstLine="0"/>
    </w:pPr>
  </w:style>
  <w:style w:type="paragraph" w:styleId="ListContinue3">
    <w:name w:val="List Continue 3"/>
    <w:basedOn w:val="List3"/>
    <w:rsid w:val="007A76B1"/>
    <w:pPr>
      <w:ind w:left="1021" w:firstLine="0"/>
    </w:pPr>
  </w:style>
  <w:style w:type="paragraph" w:styleId="ListContinue4">
    <w:name w:val="List Continue 4"/>
    <w:basedOn w:val="List4"/>
    <w:rsid w:val="007A76B1"/>
    <w:pPr>
      <w:ind w:firstLine="0"/>
    </w:pPr>
  </w:style>
  <w:style w:type="paragraph" w:styleId="ListContinue5">
    <w:name w:val="List Continue 5"/>
    <w:basedOn w:val="List5"/>
    <w:rsid w:val="007A76B1"/>
    <w:pPr>
      <w:ind w:firstLine="0"/>
    </w:pPr>
  </w:style>
  <w:style w:type="paragraph" w:styleId="ListNumber3">
    <w:name w:val="List Number 3"/>
    <w:basedOn w:val="List3"/>
    <w:rsid w:val="007A76B1"/>
    <w:pPr>
      <w:numPr>
        <w:numId w:val="5"/>
      </w:numPr>
    </w:pPr>
  </w:style>
  <w:style w:type="paragraph" w:styleId="ListNumber4">
    <w:name w:val="List Number 4"/>
    <w:basedOn w:val="List4"/>
    <w:rsid w:val="007A76B1"/>
    <w:pPr>
      <w:numPr>
        <w:numId w:val="6"/>
      </w:numPr>
    </w:pPr>
  </w:style>
  <w:style w:type="paragraph" w:styleId="ListNumber5">
    <w:name w:val="List Number 5"/>
    <w:basedOn w:val="List5"/>
    <w:rsid w:val="007A76B1"/>
    <w:pPr>
      <w:numPr>
        <w:numId w:val="7"/>
      </w:numPr>
    </w:pPr>
  </w:style>
  <w:style w:type="paragraph" w:styleId="BlockText">
    <w:name w:val="Block Text"/>
    <w:basedOn w:val="Normal"/>
    <w:rsid w:val="007A76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6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6B1"/>
    <w:rPr>
      <w:sz w:val="16"/>
      <w:vertAlign w:val="superscript"/>
    </w:rPr>
  </w:style>
  <w:style w:type="character" w:customStyle="1" w:styleId="Symbols">
    <w:name w:val="Symbols"/>
    <w:basedOn w:val="DefaultParagraphFont"/>
    <w:rsid w:val="007A76B1"/>
    <w:rPr>
      <w:rFonts w:ascii="Symbol" w:hAnsi="Symbol"/>
    </w:rPr>
  </w:style>
  <w:style w:type="character" w:customStyle="1" w:styleId="MenuOptions">
    <w:name w:val="Menu Options"/>
    <w:basedOn w:val="DefaultParagraphFont"/>
    <w:rsid w:val="007A76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6B1"/>
    <w:rPr>
      <w:b/>
    </w:rPr>
  </w:style>
  <w:style w:type="character" w:customStyle="1" w:styleId="Underlined">
    <w:name w:val="Underlined"/>
    <w:basedOn w:val="DefaultParagraphFont"/>
    <w:rsid w:val="007A76B1"/>
    <w:rPr>
      <w:u w:val="single"/>
    </w:rPr>
  </w:style>
  <w:style w:type="paragraph" w:customStyle="1" w:styleId="TableBodyTextRight">
    <w:name w:val="Table Body Text Right"/>
    <w:basedOn w:val="TableBodyText"/>
    <w:rsid w:val="007A76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6B1"/>
    <w:rPr>
      <w:sz w:val="18"/>
    </w:rPr>
  </w:style>
  <w:style w:type="paragraph" w:customStyle="1" w:styleId="BodySmallRight">
    <w:name w:val="Body Small Right"/>
    <w:basedOn w:val="BodyTextRight"/>
    <w:rsid w:val="007A76B1"/>
    <w:rPr>
      <w:sz w:val="18"/>
      <w:szCs w:val="18"/>
    </w:rPr>
  </w:style>
  <w:style w:type="paragraph" w:customStyle="1" w:styleId="MarginEdition">
    <w:name w:val="Margin Edition"/>
    <w:basedOn w:val="MarginNote"/>
    <w:rsid w:val="007A76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6B1"/>
    <w:rPr>
      <w:sz w:val="2"/>
      <w:szCs w:val="2"/>
    </w:rPr>
  </w:style>
  <w:style w:type="character" w:customStyle="1" w:styleId="Small">
    <w:name w:val="Small"/>
    <w:basedOn w:val="DefaultParagraphFont"/>
    <w:rsid w:val="007A76B1"/>
    <w:rPr>
      <w:sz w:val="16"/>
    </w:rPr>
  </w:style>
  <w:style w:type="paragraph" w:customStyle="1" w:styleId="WideTable">
    <w:name w:val="Wide Table"/>
    <w:basedOn w:val="Normal"/>
    <w:rsid w:val="007A76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6B1"/>
  </w:style>
  <w:style w:type="paragraph" w:styleId="Quote">
    <w:name w:val="Quote"/>
    <w:basedOn w:val="Heading1"/>
    <w:link w:val="QuoteChar"/>
    <w:qFormat/>
    <w:rsid w:val="007A76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6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6B1"/>
    <w:pPr>
      <w:pageBreakBefore/>
    </w:pPr>
  </w:style>
  <w:style w:type="paragraph" w:customStyle="1" w:styleId="Border">
    <w:name w:val="Border"/>
    <w:basedOn w:val="Normal"/>
    <w:qFormat/>
    <w:rsid w:val="007A76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6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6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6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6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6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6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6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6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6B1"/>
    <w:rPr>
      <w:u w:val="single"/>
    </w:rPr>
  </w:style>
  <w:style w:type="character" w:customStyle="1" w:styleId="BoldandItalics">
    <w:name w:val="Bold and Italics"/>
    <w:qFormat/>
    <w:rsid w:val="007A76B1"/>
    <w:rPr>
      <w:b/>
      <w:i/>
      <w:u w:val="none"/>
    </w:rPr>
  </w:style>
  <w:style w:type="paragraph" w:styleId="BalloonText">
    <w:name w:val="Balloon Text"/>
    <w:basedOn w:val="Normal"/>
    <w:link w:val="BalloonTextChar"/>
    <w:rsid w:val="007A76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6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6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6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6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6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6B1"/>
    <w:pPr>
      <w:spacing w:before="0" w:after="0"/>
    </w:pPr>
  </w:style>
  <w:style w:type="paragraph" w:customStyle="1" w:styleId="BodyTextBold">
    <w:name w:val="Body Text Bold"/>
    <w:basedOn w:val="BodyText"/>
    <w:qFormat/>
    <w:rsid w:val="007A76B1"/>
    <w:rPr>
      <w:b/>
    </w:rPr>
  </w:style>
  <w:style w:type="character" w:styleId="Hyperlink">
    <w:name w:val="Hyperlink"/>
    <w:basedOn w:val="DefaultParagraphFont"/>
    <w:uiPriority w:val="99"/>
    <w:unhideWhenUsed/>
    <w:rsid w:val="009010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401</Words>
  <Characters>2710</Characters>
  <Application>Microsoft Office Word</Application>
  <DocSecurity>0</DocSecurity>
  <Lines>87</Lines>
  <Paragraphs>75</Paragraphs>
  <ScaleCrop>false</ScaleCrop>
  <Company>Author-it Software Corporation Ltd.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MSFGG4009 Apply standards and codes of practice for the glass industry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2022-12-08T00:47:00Z</dcterms:created>
  <dcterms:modified xsi:type="dcterms:W3CDTF">2022-12-08T00:47:00Z</dcterms:modified>
</cp:coreProperties>
</file>