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02C" w:rsidP="00FC302C">
      <w:pPr>
        <w:pStyle w:val="Title"/>
      </w:pPr>
      <w:r>
        <w:fldChar w:fldCharType="begin"/>
      </w:r>
      <w:r>
        <w:instrText xml:space="preserve"> TITLE   \* MERGEFORMAT </w:instrText>
      </w:r>
      <w:r>
        <w:fldChar w:fldCharType="separate"/>
      </w:r>
      <w:r>
        <w:t>MSFGG4001 Apply standards and codes of practice for the glass industry</w:t>
      </w:r>
      <w:r>
        <w:fldChar w:fldCharType="end"/>
      </w:r>
    </w:p>
    <w:p w:rsidR="00FC302C" w:rsidP="00FC302C">
      <w:pPr>
        <w:pStyle w:val="Version"/>
        <w:sectPr w:rsidSect="00B85A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5A18" w:rsidP="00B85A18">
      <w:pPr>
        <w:pStyle w:val="SuperHeading"/>
      </w:pPr>
      <w:r w:rsidRPr="00B85A18">
        <w:t>MSFGG4001 Apply standards and codes of practice for the glass industry</w:t>
      </w:r>
    </w:p>
    <w:p w:rsidR="00000000" w:rsidRPr="00B85A18" w:rsidP="00B85A18">
      <w:pPr>
        <w:pStyle w:val="Heading1"/>
      </w:pPr>
      <w:bookmarkStart w:id="1" w:name="O_798232"/>
      <w:bookmarkEnd w:id="1"/>
      <w:r w:rsidRPr="00B85A18">
        <w:t>Modification History</w:t>
      </w:r>
    </w:p>
    <w:p w:rsidR="00000000" w:rsidRPr="00B85A18" w:rsidP="00B85A18">
      <w:pPr>
        <w:pStyle w:val="BodyText"/>
      </w:pPr>
      <w:r w:rsidRPr="00B85A18">
        <w:t>Release 2 - Update of Australian Standards codes.  Statement regarding currency of Australian Standards included in Range of Conditions and Performance Evidence.</w:t>
      </w:r>
    </w:p>
    <w:p w:rsidR="00000000" w:rsidRPr="00B85A18" w:rsidP="00B85A18">
      <w:pPr>
        <w:pStyle w:val="BodyText"/>
      </w:pPr>
      <w:r w:rsidRPr="00B85A18">
        <w:t>Release 1 - New unit of competency</w:t>
      </w:r>
    </w:p>
    <w:p w:rsidR="00000000" w:rsidRPr="00B85A18" w:rsidP="00B85A18">
      <w:pPr>
        <w:pStyle w:val="AllowPageBreak"/>
      </w:pPr>
    </w:p>
    <w:p w:rsidR="00000000" w:rsidRPr="00B85A18" w:rsidP="00B85A18">
      <w:pPr>
        <w:pStyle w:val="Heading1"/>
      </w:pPr>
      <w:bookmarkStart w:id="2" w:name="O_798231"/>
      <w:bookmarkEnd w:id="2"/>
      <w:r w:rsidRPr="00B85A18">
        <w:t>Application</w:t>
      </w:r>
    </w:p>
    <w:p w:rsidR="00000000" w:rsidRPr="00B85A18" w:rsidP="00B85A18">
      <w:pPr>
        <w:pStyle w:val="BodyText"/>
      </w:pPr>
      <w:r w:rsidRPr="00B85A18">
        <w:t>This unit of competency covers</w:t>
      </w:r>
      <w:r w:rsidRPr="00B85A18">
        <w:t xml:space="preserve"> evaluating glass and glazing requirements for buildings to comply with relevant Australian Standards and codes of practice. It involves determining all aspects of Australian Standards and codes of practice that apply to glass processing and installation. </w:t>
      </w:r>
      <w:r w:rsidRPr="00B85A18">
        <w:t xml:space="preserve">It may be performed in workplaces which are involved in the manufacture, processing and/or installation of glass components and in job roles requiring leadership, judgement and complex problem solving. </w:t>
      </w:r>
    </w:p>
    <w:p w:rsidR="00000000" w:rsidRPr="00B85A18" w:rsidP="00B85A18">
      <w:pPr>
        <w:pStyle w:val="BodyText"/>
      </w:pPr>
    </w:p>
    <w:p w:rsidR="00000000" w:rsidRPr="00B85A18" w:rsidP="00B85A18">
      <w:pPr>
        <w:pStyle w:val="BodyText"/>
      </w:pPr>
      <w:r w:rsidRPr="00B85A18">
        <w:t>No licensing, legislative or certification requireme</w:t>
      </w:r>
      <w:r w:rsidRPr="00B85A18">
        <w:t>nts apply to this unit at the time of publication.</w:t>
      </w:r>
    </w:p>
    <w:p w:rsidR="00000000" w:rsidRPr="00B85A18" w:rsidP="00B85A18">
      <w:pPr>
        <w:pStyle w:val="AllowPageBreak"/>
      </w:pPr>
    </w:p>
    <w:p w:rsidR="00000000" w:rsidRPr="00B85A18" w:rsidP="00B85A18">
      <w:pPr>
        <w:pStyle w:val="Heading1"/>
      </w:pPr>
      <w:bookmarkStart w:id="3" w:name="O_798230"/>
      <w:bookmarkEnd w:id="3"/>
      <w:r w:rsidRPr="00B85A18">
        <w:t>Pre-requisite Unit</w:t>
      </w:r>
    </w:p>
    <w:p w:rsidR="00000000" w:rsidRPr="00B85A18" w:rsidP="00B85A18">
      <w:pPr>
        <w:pStyle w:val="Heading1"/>
      </w:pPr>
      <w:bookmarkStart w:id="4" w:name="O_798229"/>
      <w:bookmarkEnd w:id="4"/>
      <w:r w:rsidRPr="00B85A18">
        <w:t>Competency Field</w:t>
      </w:r>
    </w:p>
    <w:p w:rsidR="00000000" w:rsidRPr="00B85A18" w:rsidP="00B85A18">
      <w:pPr>
        <w:pStyle w:val="Heading1"/>
      </w:pPr>
      <w:bookmarkStart w:id="5" w:name="O_798228"/>
      <w:bookmarkEnd w:id="5"/>
      <w:r w:rsidRPr="00B85A18">
        <w:t>Unit Sector</w:t>
      </w:r>
    </w:p>
    <w:p w:rsidR="00000000" w:rsidRPr="00B85A18" w:rsidP="00B85A18">
      <w:pPr>
        <w:pStyle w:val="BodyText"/>
      </w:pPr>
      <w:r w:rsidRPr="00B85A18">
        <w:t>Glass and Glazing</w:t>
      </w:r>
    </w:p>
    <w:p w:rsidR="00000000" w:rsidRPr="00B85A18" w:rsidP="00B85A18">
      <w:pPr>
        <w:pStyle w:val="AllowPageBreak"/>
      </w:pPr>
    </w:p>
    <w:p w:rsidR="00000000" w:rsidRPr="00B85A18" w:rsidP="00B85A18">
      <w:pPr>
        <w:pStyle w:val="Heading1"/>
      </w:pPr>
      <w:bookmarkStart w:id="6" w:name="O_798227"/>
      <w:bookmarkEnd w:id="6"/>
      <w:r w:rsidRPr="00B85A18">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B85A1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Elements describe the essential outcome</w:t>
            </w:r>
            <w:r w:rsidRPr="00B85A18">
              <w:t>s.</w:t>
            </w:r>
          </w:p>
        </w:tc>
        <w:tc>
          <w:tcPr>
            <w:tcW w:w="6527" w:type="dxa"/>
            <w:gridSpan w:val="2"/>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Performance criteria describe the performance needed to demonstrate achievement of the element.</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1</w:t>
            </w:r>
          </w:p>
        </w:tc>
        <w:tc>
          <w:tcPr>
            <w:tcW w:w="2185"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Evaluate glass and glazing work requirements</w:t>
            </w: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1.1</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 xml:space="preserve">Work health and safety (WHS) requirements for determining glass and glazing requirements are observed throughout the work </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1.2</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Glass and glazing job requirements are identified from workplace documentation, client and specialist specifications, and a te</w:t>
            </w:r>
            <w:r w:rsidRPr="00B85A18">
              <w:t>chnical evaluation conducted</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1.3</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 xml:space="preserve">Confirmed requirements for compliance with glass and glazing standards in the work are recorded according to </w:t>
            </w:r>
            <w:r w:rsidRPr="00B85A18">
              <w:t>workplace procedures and requirements</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2</w:t>
            </w:r>
          </w:p>
        </w:tc>
        <w:tc>
          <w:tcPr>
            <w:tcW w:w="2185"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Determine application of glass and glazing standards</w:t>
            </w: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2.1</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Products/types of glass for the job are identified and product supply sources are examined to ascertain current developments, if appropriate</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2.2</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Relevant standards are assessed against job requirements</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2.3</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Influencing factors are identified and their</w:t>
            </w:r>
            <w:r w:rsidRPr="00B85A18">
              <w:t xml:space="preserve"> significance and impact on the end product determined</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2.4</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Professional technical advice is sought, if applicable and available, in accordance with workplace procedures</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2.5</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Optimal solution to completion of the work is identified and specifications meeting all applicable standards is confirmed</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3</w:t>
            </w:r>
          </w:p>
        </w:tc>
        <w:tc>
          <w:tcPr>
            <w:tcW w:w="2185"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Communicate advice</w:t>
            </w: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3.1</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Solution is converted into detailed work instructions/job specifications in accordance with workplace proced</w:t>
            </w:r>
            <w:r w:rsidRPr="00B85A18">
              <w:t>ures</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3.2</w:t>
            </w:r>
          </w:p>
        </w:tc>
        <w:tc>
          <w:tcPr>
            <w:tcW w:w="5776"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Other documentation, including any advice/referral to client of other building professionals, is completed in accordance with workplace practices</w:t>
            </w:r>
          </w:p>
        </w:tc>
      </w:tr>
      <w:tr w:rsidTr="00B85A1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3.3</w:t>
            </w:r>
          </w:p>
        </w:tc>
        <w:tc>
          <w:tcPr>
            <w:tcW w:w="5776" w:type="dxa"/>
            <w:tcBorders>
              <w:top w:val="nil"/>
              <w:left w:val="nil"/>
              <w:bottom w:val="nil"/>
              <w:right w:val="nil"/>
            </w:tcBorders>
            <w:tcMar>
              <w:top w:w="0" w:type="dxa"/>
              <w:left w:w="62" w:type="dxa"/>
              <w:bottom w:w="0" w:type="dxa"/>
              <w:right w:w="62" w:type="dxa"/>
            </w:tcMar>
          </w:tcPr>
          <w:p w:rsidR="00000000" w:rsidRPr="00B85A18" w:rsidP="00B85A18">
            <w:pPr>
              <w:pStyle w:val="BodyText"/>
            </w:pPr>
            <w:r w:rsidRPr="00B85A18">
              <w:t>Communication with clients, building professionals and other workers is maintained to ensur</w:t>
            </w:r>
            <w:r w:rsidRPr="00B85A18">
              <w:t>e all work is carried out to comply with glass and glazing standards</w:t>
            </w:r>
          </w:p>
        </w:tc>
      </w:tr>
    </w:tbl>
    <w:p w:rsidR="00000000" w:rsidRPr="00B85A18" w:rsidP="00B85A18">
      <w:pPr>
        <w:pStyle w:val="BodyText"/>
      </w:pPr>
    </w:p>
    <w:p w:rsidR="00000000" w:rsidRPr="00B85A18" w:rsidP="00B85A18">
      <w:pPr>
        <w:pStyle w:val="AllowPageBreak"/>
      </w:pPr>
    </w:p>
    <w:p w:rsidR="00000000" w:rsidRPr="00B85A18" w:rsidP="00B85A18">
      <w:pPr>
        <w:pStyle w:val="Heading1"/>
      </w:pPr>
      <w:bookmarkStart w:id="7" w:name="O_798226"/>
      <w:bookmarkEnd w:id="7"/>
      <w:r w:rsidRPr="00B85A18">
        <w:t>Foundation Skills</w:t>
      </w:r>
    </w:p>
    <w:p w:rsidR="00000000" w:rsidRPr="00B85A18" w:rsidP="00B85A18">
      <w:pPr>
        <w:pStyle w:val="BodyText"/>
      </w:pPr>
      <w:r w:rsidRPr="00B85A18">
        <w:t xml:space="preserve">Foundation skills essential to performance are explicit in the performance criteria of this unit of competency. Detail on appropriate performance </w:t>
      </w:r>
      <w:r w:rsidRPr="00B85A18">
        <w:t>levels for each furnishing unit of competency in reading, writing, oral communication and numeracy utilising the Australian Core Skills Framework (ACSF) are provided in the Furnishing Training Package Implementation Guide.</w:t>
      </w:r>
    </w:p>
    <w:p w:rsidR="00000000" w:rsidRPr="00B85A18" w:rsidP="00B85A18">
      <w:pPr>
        <w:pStyle w:val="AllowPageBreak"/>
      </w:pPr>
    </w:p>
    <w:p w:rsidR="00000000" w:rsidRPr="00B85A18" w:rsidP="00B85A18">
      <w:pPr>
        <w:pStyle w:val="Heading1"/>
      </w:pPr>
      <w:bookmarkStart w:id="8" w:name="O_798225"/>
      <w:bookmarkEnd w:id="8"/>
      <w:r w:rsidRPr="00B85A18">
        <w:t>Range of Conditi</w:t>
      </w:r>
      <w:r w:rsidRPr="00B85A18">
        <w:t>ons</w:t>
      </w:r>
    </w:p>
    <w:tbl>
      <w:tblPr>
        <w:tblW w:w="0" w:type="auto"/>
        <w:tblLayout w:type="fixed"/>
        <w:tblCellMar>
          <w:left w:w="62" w:type="dxa"/>
          <w:right w:w="62" w:type="dxa"/>
        </w:tblCellMar>
        <w:tblLook w:val="0000"/>
      </w:tblPr>
      <w:tblGrid>
        <w:gridCol w:w="2760"/>
        <w:gridCol w:w="6312"/>
      </w:tblGrid>
      <w:tr w:rsidTr="00B85A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t>Specifies different work environments and conditions that may affect performance. Essential operating conditions that may be present (depending on the work situation, needs of the candidate, accessibility of the item, and local industry and regional co</w:t>
            </w:r>
            <w:r w:rsidRPr="00B85A18">
              <w:t>ntexts) are included. Range is restricted to essential operating conditions and any other variables essential to the work environment.</w:t>
            </w:r>
          </w:p>
        </w:tc>
      </w:tr>
      <w:tr w:rsidTr="00B85A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B85A18" w:rsidP="00B85A18">
            <w:pPr>
              <w:pStyle w:val="ListBullet"/>
            </w:pPr>
            <w:r w:rsidRPr="00B85A18">
              <w:t xml:space="preserve">evaluation of all glass and glazing tasks with a formal and documented process of the Australian </w:t>
            </w:r>
            <w:r w:rsidRPr="00B85A18">
              <w:t>Standards requirements</w:t>
            </w:r>
          </w:p>
          <w:p w:rsidR="00000000" w:rsidRPr="00B85A18" w:rsidP="00B85A18">
            <w:pPr>
              <w:pStyle w:val="ListBullet"/>
            </w:pPr>
            <w:r w:rsidRPr="00B85A18">
              <w:t>application of:</w:t>
            </w:r>
          </w:p>
          <w:p w:rsidR="00000000" w:rsidRPr="00B85A18" w:rsidP="00B85A18">
            <w:pPr>
              <w:pStyle w:val="ListBullet2"/>
            </w:pPr>
            <w:r w:rsidRPr="00B85A18">
              <w:t xml:space="preserve">AS 1288:2006 Glass and glazing in buildings - Selection and installation </w:t>
            </w:r>
          </w:p>
          <w:p w:rsidR="00000000" w:rsidRPr="00B85A18" w:rsidP="00B85A18">
            <w:pPr>
              <w:pStyle w:val="ListBullet2"/>
            </w:pPr>
            <w:r w:rsidRPr="00B85A18">
              <w:t xml:space="preserve">AS/NZS 2208:1996 Safety glazing materials in buildings </w:t>
            </w:r>
          </w:p>
          <w:p w:rsidR="00000000" w:rsidRPr="00B85A18" w:rsidP="00B85A18">
            <w:pPr>
              <w:pStyle w:val="ListBullet2"/>
            </w:pPr>
            <w:r w:rsidRPr="00B85A18">
              <w:t xml:space="preserve">AS/NZS 1170:2 2011 Structural design actions (wind loads) </w:t>
            </w:r>
          </w:p>
          <w:p w:rsidR="00000000" w:rsidRPr="00B85A18" w:rsidP="00B85A18">
            <w:pPr>
              <w:pStyle w:val="ListBullet2"/>
            </w:pPr>
            <w:r w:rsidRPr="00B85A18">
              <w:t xml:space="preserve">AS/NZS 4667:2000 Quality requirements for cut-to-size and processed glass </w:t>
            </w:r>
          </w:p>
          <w:p w:rsidR="00000000" w:rsidRPr="00B85A18" w:rsidP="00B85A18">
            <w:pPr>
              <w:pStyle w:val="ListBullet2"/>
            </w:pPr>
            <w:r w:rsidRPr="00B85A18">
              <w:t>AS/NZS 4668:2000 Glossary of terms used in the glass and glazing industry</w:t>
            </w:r>
          </w:p>
          <w:p w:rsidR="00000000" w:rsidRPr="00B85A18" w:rsidP="00B85A18">
            <w:pPr>
              <w:pStyle w:val="ListBullet2"/>
            </w:pPr>
            <w:r w:rsidRPr="00B85A18">
              <w:t>National Construction Code (NCC) references to windows and doors in buildings</w:t>
            </w:r>
          </w:p>
          <w:p w:rsidR="00000000" w:rsidP="00B85A18">
            <w:pPr>
              <w:pStyle w:val="BodyText"/>
              <w:rPr>
                <w:lang w:val="en-NZ"/>
              </w:rPr>
            </w:pPr>
            <w:r w:rsidRPr="00B85A18">
              <w:t>Note, wherever Australia Stan</w:t>
            </w:r>
            <w:r w:rsidRPr="00B85A18">
              <w:t>dards are listed they apply at the time of publication, but the most current version (including amendments) or replacement versions are to be used.</w:t>
            </w:r>
          </w:p>
        </w:tc>
      </w:tr>
      <w:tr w:rsidTr="00B85A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B85A18" w:rsidP="00B85A18">
            <w:pPr>
              <w:pStyle w:val="ListBullet"/>
            </w:pPr>
            <w:r w:rsidRPr="00B85A18">
              <w:t>Commonwealth, state or territory legislation and regulations</w:t>
            </w:r>
          </w:p>
          <w:p w:rsidR="00000000" w:rsidRPr="00B85A18" w:rsidP="00B85A18">
            <w:pPr>
              <w:pStyle w:val="ListBullet"/>
            </w:pPr>
            <w:r w:rsidRPr="00B85A18">
              <w:t>organisational safety policies and procedures</w:t>
            </w:r>
          </w:p>
          <w:p w:rsidR="00000000" w:rsidRPr="00B85A18" w:rsidP="00B85A18">
            <w:pPr>
              <w:pStyle w:val="ListBullet"/>
            </w:pPr>
            <w:r w:rsidRPr="00B85A18">
              <w:t>the use of personal protective equipment and clothing</w:t>
            </w:r>
          </w:p>
          <w:p w:rsidR="00000000" w:rsidRPr="00B85A18" w:rsidP="00B85A18">
            <w:pPr>
              <w:pStyle w:val="ListBullet"/>
            </w:pPr>
            <w:r w:rsidRPr="00B85A18">
              <w:t>firefighting equipment</w:t>
            </w:r>
          </w:p>
          <w:p w:rsidR="00000000" w:rsidRPr="00B85A18" w:rsidP="00B85A18">
            <w:pPr>
              <w:pStyle w:val="ListBullet"/>
            </w:pPr>
            <w:r w:rsidRPr="00B85A18">
              <w:t>first aid equipment</w:t>
            </w:r>
          </w:p>
          <w:p w:rsidR="00000000" w:rsidRPr="00B85A18" w:rsidP="00B85A18">
            <w:pPr>
              <w:pStyle w:val="ListBullet"/>
            </w:pPr>
            <w:r w:rsidRPr="00B85A18">
              <w:t>hazard and risk control and elimination of hazardous materials and substances</w:t>
            </w:r>
          </w:p>
          <w:p w:rsidR="00000000" w:rsidP="00B85A18">
            <w:pPr>
              <w:pStyle w:val="ListBullet"/>
              <w:rPr>
                <w:lang w:val="en-NZ"/>
              </w:rPr>
            </w:pPr>
            <w:r w:rsidRPr="00B85A18">
              <w:t xml:space="preserve">manual handling, including lifting </w:t>
            </w:r>
            <w:r w:rsidRPr="00B85A18">
              <w:t>and carrying</w:t>
            </w:r>
          </w:p>
        </w:tc>
      </w:tr>
      <w:tr w:rsidTr="00B85A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B85A18" w:rsidP="00B85A18">
            <w:pPr>
              <w:pStyle w:val="ListBullet"/>
            </w:pPr>
            <w:r w:rsidRPr="00B85A18">
              <w:t>work instructions</w:t>
            </w:r>
          </w:p>
          <w:p w:rsidR="00000000" w:rsidRPr="00B85A18" w:rsidP="00B85A18">
            <w:pPr>
              <w:pStyle w:val="ListBullet"/>
            </w:pPr>
            <w:r w:rsidRPr="00B85A18">
              <w:t xml:space="preserve">standard operating procedures </w:t>
            </w:r>
          </w:p>
          <w:p w:rsidR="00000000" w:rsidP="00B85A18">
            <w:pPr>
              <w:pStyle w:val="ListBullet"/>
              <w:rPr>
                <w:lang w:val="en-NZ"/>
              </w:rPr>
            </w:pPr>
            <w:r w:rsidRPr="00B85A18">
              <w:t>written, verbal or computer-based procedures</w:t>
            </w:r>
          </w:p>
        </w:tc>
      </w:tr>
      <w:tr w:rsidTr="00B85A1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85A18">
            <w:pPr>
              <w:pStyle w:val="BodyText"/>
              <w:rPr>
                <w:lang w:val="en-NZ"/>
              </w:rPr>
            </w:pPr>
            <w:r w:rsidRPr="00B85A18">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B85A18" w:rsidP="00B85A18">
            <w:pPr>
              <w:pStyle w:val="ListBullet"/>
            </w:pPr>
            <w:r w:rsidRPr="00B85A18">
              <w:t xml:space="preserve">legal, organisational and site guidelines, policies and procedures relating to own role </w:t>
            </w:r>
            <w:r w:rsidRPr="00B85A18">
              <w:t>and responsibility</w:t>
            </w:r>
          </w:p>
          <w:p w:rsidR="00000000" w:rsidRPr="00B85A18" w:rsidP="00B85A18">
            <w:pPr>
              <w:pStyle w:val="ListBullet"/>
            </w:pPr>
            <w:r w:rsidRPr="00B85A18">
              <w:t>quality assurance</w:t>
            </w:r>
          </w:p>
          <w:p w:rsidR="00000000" w:rsidRPr="00B85A18" w:rsidP="00B85A18">
            <w:pPr>
              <w:pStyle w:val="ListBullet"/>
            </w:pPr>
            <w:r w:rsidRPr="00B85A18">
              <w:t>procedural manuals</w:t>
            </w:r>
          </w:p>
          <w:p w:rsidR="00000000" w:rsidRPr="00B85A18" w:rsidP="00B85A18">
            <w:pPr>
              <w:pStyle w:val="ListBullet"/>
            </w:pPr>
            <w:r w:rsidRPr="00B85A18">
              <w:t>quality and continuous improvement processes and standards</w:t>
            </w:r>
          </w:p>
          <w:p w:rsidR="00000000" w:rsidRPr="00B85A18" w:rsidP="00B85A18">
            <w:pPr>
              <w:pStyle w:val="ListBullet"/>
            </w:pPr>
            <w:r w:rsidRPr="00B85A18">
              <w:t>ethical standards</w:t>
            </w:r>
          </w:p>
          <w:p w:rsidR="00000000" w:rsidRPr="00B85A18" w:rsidP="00B85A18">
            <w:pPr>
              <w:pStyle w:val="ListBullet"/>
            </w:pPr>
            <w:r w:rsidRPr="00B85A18">
              <w:t>recording and reporting</w:t>
            </w:r>
          </w:p>
          <w:p w:rsidR="00000000" w:rsidRPr="00B85A18" w:rsidP="00B85A18">
            <w:pPr>
              <w:pStyle w:val="ListBullet"/>
            </w:pPr>
            <w:r w:rsidRPr="00B85A18">
              <w:t>access and equity principles and practices</w:t>
            </w:r>
          </w:p>
        </w:tc>
      </w:tr>
    </w:tbl>
    <w:p w:rsidR="00000000" w:rsidRPr="00B85A18" w:rsidP="00B85A18">
      <w:pPr>
        <w:pStyle w:val="BodyText"/>
      </w:pPr>
    </w:p>
    <w:p w:rsidR="00000000" w:rsidRPr="00B85A18" w:rsidP="00B85A18">
      <w:pPr>
        <w:pStyle w:val="AllowPageBreak"/>
      </w:pPr>
    </w:p>
    <w:p w:rsidR="00000000" w:rsidRPr="00B85A18" w:rsidP="00B85A18">
      <w:pPr>
        <w:pStyle w:val="Heading1"/>
      </w:pPr>
      <w:bookmarkStart w:id="9" w:name="O_798224"/>
      <w:bookmarkEnd w:id="9"/>
      <w:r w:rsidRPr="00B85A18">
        <w:t>Unit Mapping Information</w:t>
      </w:r>
    </w:p>
    <w:p w:rsidR="00000000" w:rsidRPr="00B85A18" w:rsidP="00B85A18">
      <w:pPr>
        <w:pStyle w:val="BodyText"/>
      </w:pPr>
      <w:r w:rsidRPr="00B85A18">
        <w:t>No equivalent unit of competency</w:t>
      </w:r>
    </w:p>
    <w:p w:rsidR="00000000" w:rsidRPr="00B85A18" w:rsidP="00B85A18">
      <w:pPr>
        <w:pStyle w:val="AllowPageBreak"/>
      </w:pPr>
    </w:p>
    <w:p w:rsidR="00000000" w:rsidRPr="00B85A18" w:rsidP="00B85A18">
      <w:pPr>
        <w:pStyle w:val="Heading1"/>
      </w:pPr>
      <w:bookmarkStart w:id="10" w:name="O_798233"/>
      <w:bookmarkEnd w:id="10"/>
      <w:r w:rsidRPr="00B85A18">
        <w:t>Links</w:t>
      </w:r>
    </w:p>
    <w:p w:rsidR="00000000" w:rsidRPr="00B85A18" w:rsidP="00B85A18">
      <w:pPr>
        <w:pStyle w:val="BodyText"/>
      </w:pPr>
      <w:r w:rsidRPr="00B85A18">
        <w:t>Companion Volume implementation guides are found in VETNet - https://vetnet.education.gov.au/Pages/TrainingDocs.aspx?q=0601ab95-583a-4e93-b2d4-cfb27b03ed73</w:t>
      </w:r>
    </w:p>
    <w:p w:rsidR="00000000" w:rsidRPr="00B85A18" w:rsidP="00B85A18"/>
    <w:sectPr w:rsidSect="00B85A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18" w:rsidRPr="00FC302C" w:rsidP="00FC3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2C" w:rsidP="00B85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302C" w:rsidP="00B85A1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302C" w:rsidP="00B85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A18" w:rsidRPr="00FC302C" w:rsidP="00FC3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02C" w:rsidRPr="002D2AF8" w:rsidP="00B85A18">
    <w:pPr>
      <w:pStyle w:val="Header"/>
      <w:framePr w:wrap="around"/>
    </w:pPr>
    <w:r>
      <w:fldChar w:fldCharType="begin"/>
    </w:r>
    <w:r>
      <w:instrText xml:space="preserve"> TITLE   \* MERGEFORMAT </w:instrText>
    </w:r>
    <w:r>
      <w:fldChar w:fldCharType="separate"/>
    </w:r>
    <w:r>
      <w:t>MSFGG4001 Apply standards and codes of practice for the glass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C302C" w:rsidP="00B85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6B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00E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C8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A18"/>
    <w:pPr>
      <w:spacing w:before="360" w:after="60"/>
      <w:outlineLvl w:val="0"/>
    </w:pPr>
    <w:rPr>
      <w:sz w:val="32"/>
    </w:rPr>
  </w:style>
  <w:style w:type="paragraph" w:styleId="Heading2">
    <w:name w:val="heading 2"/>
    <w:basedOn w:val="HeadingBase"/>
    <w:next w:val="BodyText"/>
    <w:link w:val="Heading2Char"/>
    <w:qFormat/>
    <w:rsid w:val="00B85A18"/>
    <w:pPr>
      <w:keepLines/>
      <w:spacing w:before="240" w:after="120"/>
      <w:outlineLvl w:val="1"/>
    </w:pPr>
    <w:rPr>
      <w:sz w:val="28"/>
      <w:szCs w:val="40"/>
    </w:rPr>
  </w:style>
  <w:style w:type="paragraph" w:styleId="Heading3">
    <w:name w:val="heading 3"/>
    <w:basedOn w:val="HeadingBase"/>
    <w:next w:val="BodyText"/>
    <w:link w:val="Heading3Char"/>
    <w:qFormat/>
    <w:rsid w:val="00B85A18"/>
    <w:pPr>
      <w:spacing w:before="180" w:after="120"/>
      <w:outlineLvl w:val="2"/>
    </w:pPr>
    <w:rPr>
      <w:spacing w:val="-10"/>
      <w:kern w:val="32"/>
    </w:rPr>
  </w:style>
  <w:style w:type="paragraph" w:styleId="Heading4">
    <w:name w:val="heading 4"/>
    <w:basedOn w:val="HeadingBase"/>
    <w:next w:val="BodyText"/>
    <w:link w:val="Heading4Char"/>
    <w:qFormat/>
    <w:rsid w:val="00B85A18"/>
    <w:pPr>
      <w:spacing w:before="160" w:after="120"/>
      <w:outlineLvl w:val="3"/>
    </w:pPr>
    <w:rPr>
      <w:sz w:val="22"/>
    </w:rPr>
  </w:style>
  <w:style w:type="paragraph" w:styleId="Heading5">
    <w:name w:val="heading 5"/>
    <w:basedOn w:val="HeadingBase"/>
    <w:next w:val="Normal"/>
    <w:link w:val="Heading5Char"/>
    <w:qFormat/>
    <w:rsid w:val="00B85A18"/>
    <w:pPr>
      <w:spacing w:before="80"/>
      <w:outlineLvl w:val="4"/>
    </w:pPr>
    <w:rPr>
      <w:color w:val="918585"/>
      <w:sz w:val="20"/>
    </w:rPr>
  </w:style>
  <w:style w:type="paragraph" w:styleId="Heading6">
    <w:name w:val="heading 6"/>
    <w:basedOn w:val="HeadingBase"/>
    <w:next w:val="Normal"/>
    <w:link w:val="Heading6Char"/>
    <w:qFormat/>
    <w:rsid w:val="00B85A18"/>
    <w:pPr>
      <w:spacing w:before="60"/>
      <w:outlineLvl w:val="5"/>
    </w:pPr>
    <w:rPr>
      <w:color w:val="918585"/>
      <w:sz w:val="20"/>
    </w:rPr>
  </w:style>
  <w:style w:type="paragraph" w:styleId="Heading7">
    <w:name w:val="heading 7"/>
    <w:basedOn w:val="Normal"/>
    <w:next w:val="Normal"/>
    <w:link w:val="Heading7Char"/>
    <w:qFormat/>
    <w:rsid w:val="00B85A18"/>
    <w:pPr>
      <w:ind w:left="720"/>
      <w:outlineLvl w:val="6"/>
    </w:pPr>
    <w:rPr>
      <w:i/>
    </w:rPr>
  </w:style>
  <w:style w:type="paragraph" w:styleId="Heading8">
    <w:name w:val="heading 8"/>
    <w:basedOn w:val="Normal"/>
    <w:next w:val="Normal"/>
    <w:link w:val="Heading8Char"/>
    <w:qFormat/>
    <w:rsid w:val="00B85A18"/>
    <w:pPr>
      <w:ind w:left="720"/>
      <w:outlineLvl w:val="7"/>
    </w:pPr>
    <w:rPr>
      <w:i/>
    </w:rPr>
  </w:style>
  <w:style w:type="paragraph" w:styleId="Heading9">
    <w:name w:val="heading 9"/>
    <w:basedOn w:val="Normal"/>
    <w:next w:val="Normal"/>
    <w:link w:val="Heading9Char"/>
    <w:qFormat/>
    <w:rsid w:val="00B85A18"/>
    <w:pPr>
      <w:ind w:left="720"/>
      <w:outlineLvl w:val="8"/>
    </w:pPr>
    <w:rPr>
      <w:i/>
    </w:rPr>
  </w:style>
  <w:style w:type="character" w:default="1" w:styleId="DefaultParagraphFont">
    <w:name w:val="Default Paragraph Font"/>
    <w:uiPriority w:val="1"/>
    <w:unhideWhenUsed/>
    <w:rsid w:val="00B85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A18"/>
  </w:style>
  <w:style w:type="character" w:customStyle="1" w:styleId="Heading1Char">
    <w:name w:val="Heading 1 Char"/>
    <w:basedOn w:val="DefaultParagraphFont"/>
    <w:link w:val="Heading1"/>
    <w:rsid w:val="00B85A18"/>
    <w:rPr>
      <w:rFonts w:ascii="Times New Roman" w:eastAsia="Times New Roman" w:hAnsi="Times New Roman" w:cs="Times New Roman"/>
      <w:b/>
      <w:sz w:val="32"/>
      <w:szCs w:val="20"/>
      <w:lang w:eastAsia="en-US"/>
    </w:rPr>
  </w:style>
  <w:style w:type="paragraph" w:styleId="BodyText">
    <w:name w:val="Body Text"/>
    <w:basedOn w:val="Normal"/>
    <w:link w:val="BodyTextChar"/>
    <w:rsid w:val="00B85A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A18"/>
    <w:rPr>
      <w:rFonts w:ascii="Times New Roman" w:eastAsia="Times New Roman" w:hAnsi="Times New Roman" w:cs="Times New Roman"/>
      <w:sz w:val="24"/>
      <w:lang w:eastAsia="en-US"/>
    </w:rPr>
  </w:style>
  <w:style w:type="paragraph" w:styleId="ListBullet">
    <w:name w:val="List Bullet"/>
    <w:basedOn w:val="List"/>
    <w:rsid w:val="00B85A18"/>
    <w:pPr>
      <w:numPr>
        <w:numId w:val="13"/>
      </w:numPr>
      <w:tabs>
        <w:tab w:val="clear" w:pos="340"/>
      </w:tabs>
      <w:spacing w:before="40" w:after="40"/>
    </w:pPr>
  </w:style>
  <w:style w:type="character" w:customStyle="1" w:styleId="SpecialBold">
    <w:name w:val="Special Bold"/>
    <w:basedOn w:val="DefaultParagraphFont"/>
    <w:rsid w:val="00B85A18"/>
    <w:rPr>
      <w:b/>
      <w:spacing w:val="0"/>
    </w:rPr>
  </w:style>
  <w:style w:type="paragraph" w:styleId="ListBullet2">
    <w:name w:val="List Bullet 2"/>
    <w:basedOn w:val="List2"/>
    <w:rsid w:val="00B85A18"/>
    <w:pPr>
      <w:numPr>
        <w:numId w:val="14"/>
      </w:numPr>
      <w:tabs>
        <w:tab w:val="clear" w:pos="680"/>
      </w:tabs>
    </w:pPr>
  </w:style>
  <w:style w:type="paragraph" w:customStyle="1" w:styleId="SuperHeading">
    <w:name w:val="SuperHeading"/>
    <w:basedOn w:val="Normal"/>
    <w:rsid w:val="00B85A18"/>
    <w:pPr>
      <w:spacing w:before="240" w:after="120"/>
      <w:outlineLvl w:val="0"/>
    </w:pPr>
    <w:rPr>
      <w:rFonts w:ascii="Times New Roman" w:hAnsi="Times New Roman"/>
      <w:b/>
      <w:sz w:val="32"/>
    </w:rPr>
  </w:style>
  <w:style w:type="paragraph" w:customStyle="1" w:styleId="AllowPageBreak">
    <w:name w:val="AllowPageBreak"/>
    <w:rsid w:val="00B85A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A18"/>
    <w:rPr>
      <w:rFonts w:ascii="Courier New" w:eastAsia="Times New Roman" w:hAnsi="Courier New" w:cs="Times New Roman"/>
      <w:i/>
      <w:szCs w:val="20"/>
      <w:lang w:eastAsia="en-US"/>
    </w:rPr>
  </w:style>
  <w:style w:type="paragraph" w:customStyle="1" w:styleId="HeadingBase">
    <w:name w:val="Heading Base"/>
    <w:rsid w:val="00B85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A18"/>
    <w:pPr>
      <w:tabs>
        <w:tab w:val="right" w:leader="dot" w:pos="9072"/>
      </w:tabs>
      <w:ind w:left="567"/>
    </w:pPr>
    <w:rPr>
      <w:szCs w:val="22"/>
    </w:rPr>
  </w:style>
  <w:style w:type="paragraph" w:customStyle="1" w:styleId="TOCBase">
    <w:name w:val="TOC Base"/>
    <w:rsid w:val="00B85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A18"/>
    <w:pPr>
      <w:tabs>
        <w:tab w:val="right" w:leader="dot" w:pos="9072"/>
      </w:tabs>
      <w:spacing w:before="40" w:after="40"/>
      <w:ind w:left="284"/>
    </w:pPr>
    <w:rPr>
      <w:rFonts w:ascii="Times New Roman" w:hAnsi="Times New Roman"/>
    </w:rPr>
  </w:style>
  <w:style w:type="paragraph" w:styleId="TOC1">
    <w:name w:val="toc 1"/>
    <w:basedOn w:val="TOCBase"/>
    <w:next w:val="Normal"/>
    <w:rsid w:val="00B85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A18"/>
    <w:rPr>
      <w:rFonts w:ascii="Times New Roman" w:eastAsia="Times New Roman" w:hAnsi="Times New Roman" w:cs="Times New Roman"/>
      <w:sz w:val="16"/>
      <w:lang w:eastAsia="en-US"/>
    </w:rPr>
  </w:style>
  <w:style w:type="paragraph" w:styleId="Title">
    <w:name w:val="Title"/>
    <w:basedOn w:val="HeadingBase"/>
    <w:link w:val="TitleChar"/>
    <w:qFormat/>
    <w:rsid w:val="00B85A18"/>
    <w:pPr>
      <w:spacing w:before="5040"/>
      <w:jc w:val="center"/>
    </w:pPr>
    <w:rPr>
      <w:sz w:val="48"/>
      <w:szCs w:val="72"/>
      <w:lang w:val="en-US"/>
    </w:rPr>
  </w:style>
  <w:style w:type="character" w:customStyle="1" w:styleId="TitleChar">
    <w:name w:val="Title Char"/>
    <w:basedOn w:val="DefaultParagraphFont"/>
    <w:link w:val="Title"/>
    <w:rsid w:val="00B85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A18"/>
    <w:pPr>
      <w:tabs>
        <w:tab w:val="left" w:pos="3600"/>
        <w:tab w:val="left" w:pos="3958"/>
      </w:tabs>
    </w:pPr>
  </w:style>
  <w:style w:type="paragraph" w:styleId="List">
    <w:name w:val="List"/>
    <w:basedOn w:val="BodyText"/>
    <w:next w:val="BodyText"/>
    <w:rsid w:val="00B85A18"/>
    <w:pPr>
      <w:tabs>
        <w:tab w:val="left" w:pos="340"/>
      </w:tabs>
      <w:spacing w:before="60" w:after="60"/>
      <w:ind w:left="340" w:hanging="340"/>
    </w:pPr>
  </w:style>
  <w:style w:type="paragraph" w:customStyle="1" w:styleId="Note">
    <w:name w:val="Note"/>
    <w:basedOn w:val="BodyText"/>
    <w:rsid w:val="00B85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A18"/>
    <w:pPr>
      <w:framePr w:wrap="auto" w:hAnchor="text" w:y="6049"/>
    </w:pPr>
    <w:rPr>
      <w:color w:val="000000"/>
      <w:sz w:val="40"/>
    </w:rPr>
  </w:style>
  <w:style w:type="paragraph" w:customStyle="1" w:styleId="TOCTitle">
    <w:name w:val="TOCTitle"/>
    <w:basedOn w:val="Heading1"/>
    <w:rsid w:val="00B85A18"/>
    <w:pPr>
      <w:spacing w:after="240"/>
      <w:jc w:val="center"/>
      <w:outlineLvl w:val="9"/>
    </w:pPr>
    <w:rPr>
      <w:caps/>
    </w:rPr>
  </w:style>
  <w:style w:type="paragraph" w:customStyle="1" w:styleId="Version">
    <w:name w:val="Version"/>
    <w:rsid w:val="00B85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A18"/>
    <w:pPr>
      <w:keepNext w:val="0"/>
      <w:tabs>
        <w:tab w:val="right" w:pos="4176"/>
      </w:tabs>
      <w:ind w:left="198" w:hanging="198"/>
    </w:pPr>
    <w:rPr>
      <w:rFonts w:ascii="Garamond" w:hAnsi="Garamond"/>
    </w:rPr>
  </w:style>
  <w:style w:type="paragraph" w:styleId="IndexHeading">
    <w:name w:val="index heading"/>
    <w:basedOn w:val="Normal"/>
    <w:next w:val="Index1"/>
    <w:semiHidden/>
    <w:rsid w:val="00B85A18"/>
    <w:pPr>
      <w:spacing w:before="120" w:after="120"/>
    </w:pPr>
    <w:rPr>
      <w:rFonts w:ascii="Arial" w:hAnsi="Arial"/>
      <w:b/>
      <w:color w:val="918585"/>
      <w:sz w:val="24"/>
    </w:rPr>
  </w:style>
  <w:style w:type="paragraph" w:styleId="Header">
    <w:name w:val="header"/>
    <w:basedOn w:val="Normal"/>
    <w:link w:val="HeaderChar"/>
    <w:rsid w:val="00B85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A18"/>
    <w:rPr>
      <w:rFonts w:ascii="Times New Roman" w:eastAsia="Times New Roman" w:hAnsi="Times New Roman" w:cs="Times New Roman"/>
      <w:sz w:val="16"/>
      <w:szCs w:val="20"/>
      <w:lang w:val="en-GB" w:eastAsia="en-US"/>
    </w:rPr>
  </w:style>
  <w:style w:type="paragraph" w:customStyle="1" w:styleId="Chapter">
    <w:name w:val="Chapter"/>
    <w:basedOn w:val="Normal"/>
    <w:rsid w:val="00B85A18"/>
    <w:pPr>
      <w:spacing w:before="240"/>
    </w:pPr>
    <w:rPr>
      <w:rFonts w:ascii="Times New Roman" w:hAnsi="Times New Roman"/>
      <w:smallCaps/>
      <w:spacing w:val="80"/>
      <w:sz w:val="28"/>
    </w:rPr>
  </w:style>
  <w:style w:type="paragraph" w:customStyle="1" w:styleId="InChapter">
    <w:name w:val="InChapter"/>
    <w:basedOn w:val="Heading3"/>
    <w:rsid w:val="00B85A18"/>
    <w:pPr>
      <w:spacing w:after="240"/>
      <w:outlineLvl w:val="9"/>
    </w:pPr>
    <w:rPr>
      <w:noProof/>
    </w:rPr>
  </w:style>
  <w:style w:type="paragraph" w:styleId="Index2">
    <w:name w:val="index 2"/>
    <w:basedOn w:val="Normal"/>
    <w:next w:val="Normal"/>
    <w:semiHidden/>
    <w:rsid w:val="00B85A18"/>
    <w:pPr>
      <w:tabs>
        <w:tab w:val="right" w:pos="4176"/>
      </w:tabs>
      <w:ind w:left="568" w:hanging="284"/>
    </w:pPr>
    <w:rPr>
      <w:rFonts w:ascii="Garamond" w:hAnsi="Garamond"/>
    </w:rPr>
  </w:style>
  <w:style w:type="paragraph" w:customStyle="1" w:styleId="Byline">
    <w:name w:val="Byline"/>
    <w:rsid w:val="00B85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A18"/>
    <w:pPr>
      <w:tabs>
        <w:tab w:val="clear" w:pos="3600"/>
        <w:tab w:val="clear" w:pos="3958"/>
      </w:tabs>
      <w:jc w:val="right"/>
    </w:pPr>
  </w:style>
  <w:style w:type="character" w:styleId="Emphasis">
    <w:name w:val="Emphasis"/>
    <w:basedOn w:val="DefaultParagraphFont"/>
    <w:qFormat/>
    <w:rsid w:val="00B85A18"/>
    <w:rPr>
      <w:i/>
    </w:rPr>
  </w:style>
  <w:style w:type="paragraph" w:styleId="Caption">
    <w:name w:val="caption"/>
    <w:basedOn w:val="BodyText"/>
    <w:next w:val="Normal"/>
    <w:qFormat/>
    <w:rsid w:val="00B85A18"/>
    <w:pPr>
      <w:framePr w:w="2268" w:hSpace="181" w:vSpace="181" w:wrap="around" w:vAnchor="text" w:hAnchor="page" w:x="1135" w:y="285" w:anchorLock="1"/>
    </w:pPr>
    <w:rPr>
      <w:i/>
    </w:rPr>
  </w:style>
  <w:style w:type="paragraph" w:customStyle="1" w:styleId="MiniTOCTitle">
    <w:name w:val="MiniTOCTitle"/>
    <w:basedOn w:val="Heading4"/>
    <w:rsid w:val="00B85A18"/>
    <w:pPr>
      <w:spacing w:before="240"/>
      <w:outlineLvl w:val="9"/>
    </w:pPr>
    <w:rPr>
      <w:noProof/>
      <w:sz w:val="24"/>
    </w:rPr>
  </w:style>
  <w:style w:type="paragraph" w:customStyle="1" w:styleId="MiniTOCItem">
    <w:name w:val="MiniTOCItem"/>
    <w:basedOn w:val="ListBullet"/>
    <w:rsid w:val="00B85A18"/>
    <w:pPr>
      <w:numPr>
        <w:numId w:val="0"/>
      </w:numPr>
      <w:tabs>
        <w:tab w:val="right" w:leader="dot" w:pos="6521"/>
      </w:tabs>
      <w:spacing w:before="0" w:after="0"/>
    </w:pPr>
  </w:style>
  <w:style w:type="paragraph" w:customStyle="1" w:styleId="TOFTitle">
    <w:name w:val="TOFTitle"/>
    <w:basedOn w:val="TOCTitle"/>
    <w:rsid w:val="00B85A18"/>
  </w:style>
  <w:style w:type="paragraph" w:styleId="TableofFigures">
    <w:name w:val="table of figures"/>
    <w:basedOn w:val="Normal"/>
    <w:next w:val="Normal"/>
    <w:semiHidden/>
    <w:rsid w:val="00B85A18"/>
    <w:pPr>
      <w:tabs>
        <w:tab w:val="right" w:leader="dot" w:pos="9072"/>
      </w:tabs>
      <w:ind w:left="970" w:hanging="403"/>
    </w:pPr>
    <w:rPr>
      <w:rFonts w:ascii="Times New Roman" w:hAnsi="Times New Roman"/>
      <w:b/>
    </w:rPr>
  </w:style>
  <w:style w:type="paragraph" w:styleId="ListNumber">
    <w:name w:val="List Number"/>
    <w:basedOn w:val="List"/>
    <w:rsid w:val="00B85A18"/>
    <w:pPr>
      <w:numPr>
        <w:numId w:val="11"/>
      </w:numPr>
    </w:pPr>
  </w:style>
  <w:style w:type="character" w:customStyle="1" w:styleId="WingdingSymbols">
    <w:name w:val="Wingding Symbols"/>
    <w:rsid w:val="00B85A18"/>
    <w:rPr>
      <w:rFonts w:ascii="Wingdings" w:hAnsi="Wingdings"/>
    </w:rPr>
  </w:style>
  <w:style w:type="paragraph" w:customStyle="1" w:styleId="TableHeading">
    <w:name w:val="Table Heading"/>
    <w:basedOn w:val="HeadingBase"/>
    <w:rsid w:val="00B85A18"/>
    <w:pPr>
      <w:keepLines/>
      <w:pBdr>
        <w:bottom w:val="single" w:sz="6" w:space="1" w:color="918585"/>
      </w:pBdr>
      <w:spacing w:before="240"/>
    </w:pPr>
  </w:style>
  <w:style w:type="character" w:customStyle="1" w:styleId="HotSpot">
    <w:name w:val="HotSpot"/>
    <w:rsid w:val="00B85A18"/>
    <w:rPr>
      <w:color w:val="0033CC"/>
      <w:u w:val="none"/>
    </w:rPr>
  </w:style>
  <w:style w:type="paragraph" w:customStyle="1" w:styleId="BodyTextRight">
    <w:name w:val="Body Text Right"/>
    <w:basedOn w:val="BodyText"/>
    <w:rsid w:val="00B85A18"/>
    <w:pPr>
      <w:spacing w:before="0" w:after="0"/>
      <w:jc w:val="right"/>
    </w:pPr>
  </w:style>
  <w:style w:type="paragraph" w:styleId="Index3">
    <w:name w:val="index 3"/>
    <w:basedOn w:val="ListNumber2"/>
    <w:next w:val="Normal"/>
    <w:semiHidden/>
    <w:rsid w:val="00B85A18"/>
    <w:pPr>
      <w:numPr>
        <w:numId w:val="0"/>
      </w:numPr>
      <w:tabs>
        <w:tab w:val="right" w:leader="dot" w:pos="4176"/>
      </w:tabs>
    </w:pPr>
  </w:style>
  <w:style w:type="paragraph" w:styleId="ListNumber2">
    <w:name w:val="List Number 2"/>
    <w:basedOn w:val="List2"/>
    <w:rsid w:val="00B85A18"/>
    <w:pPr>
      <w:numPr>
        <w:numId w:val="10"/>
      </w:numPr>
      <w:tabs>
        <w:tab w:val="clear" w:pos="1060"/>
      </w:tabs>
    </w:pPr>
  </w:style>
  <w:style w:type="paragraph" w:customStyle="1" w:styleId="MarginNote">
    <w:name w:val="Margin Note"/>
    <w:basedOn w:val="BodyText"/>
    <w:rsid w:val="00B85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A18"/>
    <w:rPr>
      <w:sz w:val="32"/>
    </w:rPr>
  </w:style>
  <w:style w:type="paragraph" w:customStyle="1" w:styleId="HeadingProcedure">
    <w:name w:val="Heading Procedure"/>
    <w:basedOn w:val="HeadingBase"/>
    <w:next w:val="Normal"/>
    <w:rsid w:val="00B85A18"/>
    <w:pPr>
      <w:tabs>
        <w:tab w:val="left" w:pos="0"/>
      </w:tabs>
      <w:spacing w:before="120" w:after="60"/>
    </w:pPr>
    <w:rPr>
      <w:i/>
      <w:color w:val="918585"/>
      <w:sz w:val="22"/>
    </w:rPr>
  </w:style>
  <w:style w:type="paragraph" w:customStyle="1" w:styleId="TableBodyText">
    <w:name w:val="Table Body Text"/>
    <w:basedOn w:val="BodyText"/>
    <w:rsid w:val="00B85A18"/>
    <w:pPr>
      <w:spacing w:before="60" w:after="60"/>
    </w:pPr>
  </w:style>
  <w:style w:type="paragraph" w:styleId="ListContinue">
    <w:name w:val="List Continue"/>
    <w:basedOn w:val="List"/>
    <w:rsid w:val="00B85A18"/>
    <w:pPr>
      <w:ind w:firstLine="0"/>
    </w:pPr>
  </w:style>
  <w:style w:type="paragraph" w:customStyle="1" w:styleId="ListNote">
    <w:name w:val="List Note"/>
    <w:basedOn w:val="List"/>
    <w:rsid w:val="00B85A18"/>
    <w:pPr>
      <w:pBdr>
        <w:top w:val="single" w:sz="6" w:space="2" w:color="918585"/>
        <w:bottom w:val="single" w:sz="6" w:space="2" w:color="918585"/>
      </w:pBdr>
      <w:tabs>
        <w:tab w:val="left" w:pos="1021"/>
      </w:tabs>
      <w:ind w:firstLine="0"/>
    </w:pPr>
  </w:style>
  <w:style w:type="paragraph" w:customStyle="1" w:styleId="Warning">
    <w:name w:val="Warning"/>
    <w:basedOn w:val="BodyText"/>
    <w:rsid w:val="00B85A18"/>
    <w:pPr>
      <w:shd w:val="clear" w:color="auto" w:fill="D9D9D9"/>
      <w:tabs>
        <w:tab w:val="left" w:pos="992"/>
      </w:tabs>
      <w:ind w:left="119" w:right="119"/>
    </w:pPr>
    <w:rPr>
      <w:sz w:val="20"/>
    </w:rPr>
  </w:style>
  <w:style w:type="paragraph" w:customStyle="1" w:styleId="MarginIcons">
    <w:name w:val="Margin Icons"/>
    <w:basedOn w:val="BodyText"/>
    <w:rsid w:val="00B85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A18"/>
    <w:rPr>
      <w:rFonts w:ascii="Courier New" w:hAnsi="Courier New"/>
    </w:rPr>
  </w:style>
  <w:style w:type="paragraph" w:customStyle="1" w:styleId="NoteBullet">
    <w:name w:val="Note Bullet"/>
    <w:basedOn w:val="Note"/>
    <w:rsid w:val="00B85A18"/>
    <w:pPr>
      <w:tabs>
        <w:tab w:val="clear" w:pos="680"/>
      </w:tabs>
      <w:spacing w:before="60" w:after="60"/>
    </w:pPr>
  </w:style>
  <w:style w:type="paragraph" w:customStyle="1" w:styleId="SubHeading2">
    <w:name w:val="SubHeading2"/>
    <w:basedOn w:val="HeadingBase"/>
    <w:rsid w:val="00B85A18"/>
    <w:pPr>
      <w:spacing w:before="240" w:after="60"/>
    </w:pPr>
    <w:rPr>
      <w:sz w:val="20"/>
    </w:rPr>
  </w:style>
  <w:style w:type="paragraph" w:customStyle="1" w:styleId="SubHeading1">
    <w:name w:val="SubHeading1"/>
    <w:basedOn w:val="HeadingBase"/>
    <w:rsid w:val="00B85A18"/>
    <w:pPr>
      <w:spacing w:before="240" w:after="60"/>
    </w:pPr>
    <w:rPr>
      <w:color w:val="918585"/>
      <w:sz w:val="22"/>
    </w:rPr>
  </w:style>
  <w:style w:type="paragraph" w:customStyle="1" w:styleId="SideHeading">
    <w:name w:val="Side Heading"/>
    <w:basedOn w:val="HeadingBase"/>
    <w:rsid w:val="00B85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A18"/>
    <w:pPr>
      <w:numPr>
        <w:numId w:val="12"/>
      </w:numPr>
    </w:pPr>
  </w:style>
  <w:style w:type="paragraph" w:styleId="PlainText">
    <w:name w:val="Plain Text"/>
    <w:basedOn w:val="Normal"/>
    <w:link w:val="PlainTextChar"/>
    <w:rsid w:val="00B85A18"/>
    <w:rPr>
      <w:sz w:val="20"/>
    </w:rPr>
  </w:style>
  <w:style w:type="character" w:customStyle="1" w:styleId="PlainTextChar">
    <w:name w:val="Plain Text Char"/>
    <w:basedOn w:val="DefaultParagraphFont"/>
    <w:link w:val="PlainText"/>
    <w:rsid w:val="00B85A18"/>
    <w:rPr>
      <w:rFonts w:ascii="Courier New" w:eastAsia="Times New Roman" w:hAnsi="Courier New" w:cs="Times New Roman"/>
      <w:sz w:val="20"/>
      <w:szCs w:val="20"/>
      <w:lang w:eastAsia="en-US"/>
    </w:rPr>
  </w:style>
  <w:style w:type="character" w:customStyle="1" w:styleId="MenuOption">
    <w:name w:val="Menu Option"/>
    <w:basedOn w:val="DefaultParagraphFont"/>
    <w:rsid w:val="00B85A18"/>
    <w:rPr>
      <w:b/>
      <w:smallCaps/>
    </w:rPr>
  </w:style>
  <w:style w:type="paragraph" w:customStyle="1" w:styleId="TableListNumber">
    <w:name w:val="Table List Number"/>
    <w:basedOn w:val="ListNumber"/>
    <w:rsid w:val="00B85A18"/>
    <w:pPr>
      <w:numPr>
        <w:numId w:val="0"/>
      </w:numPr>
    </w:pPr>
  </w:style>
  <w:style w:type="paragraph" w:styleId="TOC4">
    <w:name w:val="toc 4"/>
    <w:basedOn w:val="TOCBase"/>
    <w:next w:val="Normal"/>
    <w:semiHidden/>
    <w:rsid w:val="00B85A18"/>
    <w:pPr>
      <w:tabs>
        <w:tab w:val="right" w:leader="dot" w:pos="9071"/>
      </w:tabs>
      <w:ind w:left="1701"/>
    </w:pPr>
  </w:style>
  <w:style w:type="paragraph" w:customStyle="1" w:styleId="ListAlpha">
    <w:name w:val="List Alpha"/>
    <w:basedOn w:val="List"/>
    <w:rsid w:val="00B85A18"/>
    <w:pPr>
      <w:numPr>
        <w:numId w:val="9"/>
      </w:numPr>
    </w:pPr>
  </w:style>
  <w:style w:type="paragraph" w:customStyle="1" w:styleId="ListAlpha2">
    <w:name w:val="List Alpha 2"/>
    <w:basedOn w:val="List2"/>
    <w:rsid w:val="00B85A18"/>
    <w:pPr>
      <w:numPr>
        <w:numId w:val="8"/>
      </w:numPr>
    </w:pPr>
  </w:style>
  <w:style w:type="paragraph" w:styleId="List2">
    <w:name w:val="List 2"/>
    <w:basedOn w:val="BodyText"/>
    <w:rsid w:val="00B85A18"/>
    <w:pPr>
      <w:tabs>
        <w:tab w:val="left" w:pos="680"/>
      </w:tabs>
      <w:spacing w:before="60" w:after="60"/>
      <w:ind w:left="680" w:hanging="340"/>
    </w:pPr>
  </w:style>
  <w:style w:type="paragraph" w:styleId="List3">
    <w:name w:val="List 3"/>
    <w:basedOn w:val="BodyText"/>
    <w:rsid w:val="00B85A18"/>
    <w:pPr>
      <w:tabs>
        <w:tab w:val="left" w:pos="1021"/>
      </w:tabs>
      <w:spacing w:before="60" w:after="60"/>
      <w:ind w:left="1020" w:hanging="340"/>
    </w:pPr>
  </w:style>
  <w:style w:type="paragraph" w:styleId="List4">
    <w:name w:val="List 4"/>
    <w:basedOn w:val="BodyText"/>
    <w:rsid w:val="00B85A18"/>
    <w:pPr>
      <w:tabs>
        <w:tab w:val="left" w:pos="1361"/>
      </w:tabs>
      <w:spacing w:before="60" w:after="60"/>
      <w:ind w:left="1361" w:hanging="340"/>
    </w:pPr>
  </w:style>
  <w:style w:type="paragraph" w:styleId="List5">
    <w:name w:val="List 5"/>
    <w:basedOn w:val="BodyText"/>
    <w:rsid w:val="00B85A18"/>
    <w:pPr>
      <w:tabs>
        <w:tab w:val="left" w:pos="1701"/>
      </w:tabs>
      <w:spacing w:before="60" w:after="60"/>
      <w:ind w:left="1701" w:hanging="340"/>
    </w:pPr>
  </w:style>
  <w:style w:type="paragraph" w:styleId="ListBullet3">
    <w:name w:val="List Bullet 3"/>
    <w:basedOn w:val="List3"/>
    <w:rsid w:val="00B85A18"/>
    <w:pPr>
      <w:numPr>
        <w:numId w:val="15"/>
      </w:numPr>
      <w:tabs>
        <w:tab w:val="clear" w:pos="1021"/>
      </w:tabs>
      <w:ind w:left="1037" w:hanging="357"/>
    </w:pPr>
  </w:style>
  <w:style w:type="paragraph" w:styleId="ListBullet4">
    <w:name w:val="List Bullet 4"/>
    <w:basedOn w:val="List4"/>
    <w:rsid w:val="00B85A18"/>
    <w:pPr>
      <w:numPr>
        <w:numId w:val="3"/>
      </w:numPr>
      <w:tabs>
        <w:tab w:val="clear" w:pos="1361"/>
      </w:tabs>
    </w:pPr>
  </w:style>
  <w:style w:type="paragraph" w:styleId="ListBullet5">
    <w:name w:val="List Bullet 5"/>
    <w:basedOn w:val="List5"/>
    <w:rsid w:val="00B85A18"/>
    <w:pPr>
      <w:numPr>
        <w:numId w:val="4"/>
      </w:numPr>
    </w:pPr>
  </w:style>
  <w:style w:type="paragraph" w:styleId="ListContinue2">
    <w:name w:val="List Continue 2"/>
    <w:basedOn w:val="List2"/>
    <w:rsid w:val="00B85A18"/>
    <w:pPr>
      <w:ind w:firstLine="0"/>
    </w:pPr>
  </w:style>
  <w:style w:type="paragraph" w:styleId="ListContinue3">
    <w:name w:val="List Continue 3"/>
    <w:basedOn w:val="List3"/>
    <w:rsid w:val="00B85A18"/>
    <w:pPr>
      <w:ind w:left="1021" w:firstLine="0"/>
    </w:pPr>
  </w:style>
  <w:style w:type="paragraph" w:styleId="ListContinue4">
    <w:name w:val="List Continue 4"/>
    <w:basedOn w:val="List4"/>
    <w:rsid w:val="00B85A18"/>
    <w:pPr>
      <w:ind w:firstLine="0"/>
    </w:pPr>
  </w:style>
  <w:style w:type="paragraph" w:styleId="ListContinue5">
    <w:name w:val="List Continue 5"/>
    <w:basedOn w:val="List5"/>
    <w:rsid w:val="00B85A18"/>
    <w:pPr>
      <w:ind w:firstLine="0"/>
    </w:pPr>
  </w:style>
  <w:style w:type="paragraph" w:styleId="ListNumber3">
    <w:name w:val="List Number 3"/>
    <w:basedOn w:val="List3"/>
    <w:rsid w:val="00B85A18"/>
    <w:pPr>
      <w:numPr>
        <w:numId w:val="5"/>
      </w:numPr>
    </w:pPr>
  </w:style>
  <w:style w:type="paragraph" w:styleId="ListNumber4">
    <w:name w:val="List Number 4"/>
    <w:basedOn w:val="List4"/>
    <w:rsid w:val="00B85A18"/>
    <w:pPr>
      <w:numPr>
        <w:numId w:val="6"/>
      </w:numPr>
    </w:pPr>
  </w:style>
  <w:style w:type="paragraph" w:styleId="ListNumber5">
    <w:name w:val="List Number 5"/>
    <w:basedOn w:val="List5"/>
    <w:rsid w:val="00B85A18"/>
    <w:pPr>
      <w:numPr>
        <w:numId w:val="7"/>
      </w:numPr>
    </w:pPr>
  </w:style>
  <w:style w:type="paragraph" w:styleId="BlockText">
    <w:name w:val="Block Text"/>
    <w:basedOn w:val="Normal"/>
    <w:rsid w:val="00B85A18"/>
    <w:pPr>
      <w:spacing w:after="120"/>
      <w:ind w:left="1440" w:right="1440"/>
    </w:pPr>
  </w:style>
  <w:style w:type="character" w:customStyle="1" w:styleId="Subscript">
    <w:name w:val="Subscript"/>
    <w:basedOn w:val="DefaultParagraphFont"/>
    <w:rsid w:val="00B85A18"/>
    <w:rPr>
      <w:sz w:val="16"/>
      <w:vertAlign w:val="subscript"/>
    </w:rPr>
  </w:style>
  <w:style w:type="character" w:customStyle="1" w:styleId="Superscript">
    <w:name w:val="Superscript"/>
    <w:basedOn w:val="DefaultParagraphFont"/>
    <w:rsid w:val="00B85A18"/>
    <w:rPr>
      <w:sz w:val="16"/>
      <w:vertAlign w:val="superscript"/>
    </w:rPr>
  </w:style>
  <w:style w:type="character" w:customStyle="1" w:styleId="Symbols">
    <w:name w:val="Symbols"/>
    <w:basedOn w:val="DefaultParagraphFont"/>
    <w:rsid w:val="00B85A18"/>
    <w:rPr>
      <w:rFonts w:ascii="Symbol" w:hAnsi="Symbol"/>
    </w:rPr>
  </w:style>
  <w:style w:type="character" w:customStyle="1" w:styleId="MenuOptions">
    <w:name w:val="Menu Options"/>
    <w:basedOn w:val="DefaultParagraphFont"/>
    <w:rsid w:val="00B85A18"/>
    <w:rPr>
      <w:rFonts w:ascii="Arial Narrow" w:hAnsi="Arial Narrow"/>
      <w:smallCaps/>
    </w:rPr>
  </w:style>
  <w:style w:type="character" w:customStyle="1" w:styleId="Buttons">
    <w:name w:val="Buttons"/>
    <w:basedOn w:val="DefaultParagraphFont"/>
    <w:rsid w:val="00B85A18"/>
    <w:rPr>
      <w:b/>
    </w:rPr>
  </w:style>
  <w:style w:type="character" w:customStyle="1" w:styleId="Underlined">
    <w:name w:val="Underlined"/>
    <w:basedOn w:val="DefaultParagraphFont"/>
    <w:rsid w:val="00B85A18"/>
    <w:rPr>
      <w:u w:val="single"/>
    </w:rPr>
  </w:style>
  <w:style w:type="paragraph" w:customStyle="1" w:styleId="TableBodyTextRight">
    <w:name w:val="Table Body Text Right"/>
    <w:basedOn w:val="TableBodyText"/>
    <w:rsid w:val="00B85A18"/>
    <w:pPr>
      <w:widowControl w:val="0"/>
      <w:autoSpaceDE w:val="0"/>
      <w:autoSpaceDN w:val="0"/>
      <w:adjustRightInd w:val="0"/>
      <w:jc w:val="right"/>
    </w:pPr>
    <w:rPr>
      <w:rFonts w:cs="Arial"/>
      <w:szCs w:val="18"/>
    </w:rPr>
  </w:style>
  <w:style w:type="paragraph" w:customStyle="1" w:styleId="CopyrightText">
    <w:name w:val="Copyright Text"/>
    <w:basedOn w:val="BodyText"/>
    <w:rsid w:val="00B85A18"/>
    <w:rPr>
      <w:sz w:val="18"/>
    </w:rPr>
  </w:style>
  <w:style w:type="paragraph" w:customStyle="1" w:styleId="BodySmallRight">
    <w:name w:val="Body Small Right"/>
    <w:basedOn w:val="BodyTextRight"/>
    <w:rsid w:val="00B85A18"/>
    <w:rPr>
      <w:sz w:val="18"/>
      <w:szCs w:val="18"/>
    </w:rPr>
  </w:style>
  <w:style w:type="paragraph" w:customStyle="1" w:styleId="MarginEdition">
    <w:name w:val="Margin Edition"/>
    <w:basedOn w:val="MarginNote"/>
    <w:rsid w:val="00B85A18"/>
    <w:pPr>
      <w:spacing w:before="0" w:after="0"/>
    </w:pPr>
    <w:rPr>
      <w:rFonts w:ascii="Times New Roman" w:hAnsi="Times New Roman"/>
      <w:color w:val="999999"/>
    </w:rPr>
  </w:style>
  <w:style w:type="paragraph" w:customStyle="1" w:styleId="Spacer">
    <w:name w:val="Spacer"/>
    <w:basedOn w:val="Normal"/>
    <w:rsid w:val="00B85A18"/>
    <w:rPr>
      <w:sz w:val="2"/>
      <w:szCs w:val="2"/>
    </w:rPr>
  </w:style>
  <w:style w:type="character" w:customStyle="1" w:styleId="Small">
    <w:name w:val="Small"/>
    <w:basedOn w:val="DefaultParagraphFont"/>
    <w:rsid w:val="00B85A18"/>
    <w:rPr>
      <w:sz w:val="16"/>
    </w:rPr>
  </w:style>
  <w:style w:type="paragraph" w:customStyle="1" w:styleId="WideTable">
    <w:name w:val="Wide Table"/>
    <w:basedOn w:val="Normal"/>
    <w:rsid w:val="00B85A18"/>
    <w:pPr>
      <w:ind w:left="-1418"/>
    </w:pPr>
    <w:rPr>
      <w:sz w:val="2"/>
      <w:szCs w:val="2"/>
    </w:rPr>
  </w:style>
  <w:style w:type="character" w:styleId="PageNumber">
    <w:name w:val="page number"/>
    <w:basedOn w:val="DefaultParagraphFont"/>
    <w:rsid w:val="00B85A18"/>
  </w:style>
  <w:style w:type="paragraph" w:styleId="Quote">
    <w:name w:val="Quote"/>
    <w:basedOn w:val="Heading1"/>
    <w:link w:val="QuoteChar"/>
    <w:qFormat/>
    <w:rsid w:val="00B85A18"/>
    <w:rPr>
      <w:b w:val="0"/>
      <w:sz w:val="72"/>
      <w:szCs w:val="72"/>
      <w:lang w:val="en-NZ"/>
    </w:rPr>
  </w:style>
  <w:style w:type="character" w:customStyle="1" w:styleId="QuoteChar">
    <w:name w:val="Quote Char"/>
    <w:basedOn w:val="DefaultParagraphFont"/>
    <w:link w:val="Quote"/>
    <w:rsid w:val="00B85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A18"/>
    <w:pPr>
      <w:pageBreakBefore/>
    </w:pPr>
  </w:style>
  <w:style w:type="paragraph" w:customStyle="1" w:styleId="Border">
    <w:name w:val="Border"/>
    <w:basedOn w:val="Normal"/>
    <w:qFormat/>
    <w:rsid w:val="00B85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A18"/>
    <w:rPr>
      <w:b/>
      <w:bCs/>
      <w:i/>
      <w:iCs/>
      <w:color w:val="auto"/>
    </w:rPr>
  </w:style>
  <w:style w:type="paragraph" w:styleId="IntenseQuote">
    <w:name w:val="Intense Quote"/>
    <w:basedOn w:val="Normal"/>
    <w:next w:val="Normal"/>
    <w:link w:val="IntenseQuoteChar"/>
    <w:uiPriority w:val="30"/>
    <w:qFormat/>
    <w:rsid w:val="00B85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A18"/>
    <w:rPr>
      <w:smallCaps/>
      <w:color w:val="auto"/>
      <w:u w:val="single"/>
    </w:rPr>
  </w:style>
  <w:style w:type="character" w:styleId="IntenseReference">
    <w:name w:val="Intense Reference"/>
    <w:basedOn w:val="DefaultParagraphFont"/>
    <w:uiPriority w:val="32"/>
    <w:qFormat/>
    <w:rsid w:val="00B85A18"/>
    <w:rPr>
      <w:b/>
      <w:bCs/>
      <w:smallCaps/>
      <w:color w:val="auto"/>
      <w:spacing w:val="5"/>
      <w:u w:val="single"/>
    </w:rPr>
  </w:style>
  <w:style w:type="paragraph" w:customStyle="1" w:styleId="2ColumnHeading">
    <w:name w:val="2Column Heading"/>
    <w:basedOn w:val="BodyText"/>
    <w:qFormat/>
    <w:rsid w:val="00B85A18"/>
    <w:pPr>
      <w:spacing w:after="60"/>
      <w:ind w:left="-2268"/>
    </w:pPr>
    <w:rPr>
      <w:b/>
    </w:rPr>
  </w:style>
  <w:style w:type="paragraph" w:customStyle="1" w:styleId="Heading1TOC">
    <w:name w:val="Heading1 TOC"/>
    <w:basedOn w:val="Normal"/>
    <w:qFormat/>
    <w:rsid w:val="00B85A18"/>
    <w:pPr>
      <w:spacing w:before="240" w:after="120"/>
    </w:pPr>
    <w:rPr>
      <w:rFonts w:ascii="Times New Roman" w:hAnsi="Times New Roman"/>
      <w:b/>
      <w:sz w:val="32"/>
    </w:rPr>
  </w:style>
  <w:style w:type="paragraph" w:customStyle="1" w:styleId="Heading2TOC">
    <w:name w:val="Heading2 TOC"/>
    <w:basedOn w:val="Normal"/>
    <w:qFormat/>
    <w:rsid w:val="00B85A18"/>
    <w:pPr>
      <w:spacing w:before="240" w:after="60"/>
    </w:pPr>
    <w:rPr>
      <w:rFonts w:ascii="Times New Roman" w:hAnsi="Times New Roman"/>
      <w:b/>
      <w:sz w:val="28"/>
    </w:rPr>
  </w:style>
  <w:style w:type="character" w:customStyle="1" w:styleId="Underline">
    <w:name w:val="Underline"/>
    <w:basedOn w:val="DefaultParagraphFont"/>
    <w:qFormat/>
    <w:rsid w:val="00B85A18"/>
    <w:rPr>
      <w:u w:val="single"/>
    </w:rPr>
  </w:style>
  <w:style w:type="character" w:customStyle="1" w:styleId="BoldandItalics">
    <w:name w:val="Bold and Italics"/>
    <w:qFormat/>
    <w:rsid w:val="00B85A18"/>
    <w:rPr>
      <w:b/>
      <w:i/>
      <w:u w:val="none"/>
    </w:rPr>
  </w:style>
  <w:style w:type="paragraph" w:styleId="BalloonText">
    <w:name w:val="Balloon Text"/>
    <w:basedOn w:val="Normal"/>
    <w:link w:val="BalloonTextChar"/>
    <w:rsid w:val="00B85A18"/>
    <w:rPr>
      <w:rFonts w:ascii="Tahoma" w:hAnsi="Tahoma" w:cs="Tahoma"/>
      <w:sz w:val="16"/>
      <w:szCs w:val="16"/>
    </w:rPr>
  </w:style>
  <w:style w:type="character" w:customStyle="1" w:styleId="BalloonTextChar">
    <w:name w:val="Balloon Text Char"/>
    <w:basedOn w:val="DefaultParagraphFont"/>
    <w:link w:val="BalloonText"/>
    <w:rsid w:val="00B85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A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A18"/>
    <w:rPr>
      <w:b/>
      <w:color w:val="660033"/>
      <w:spacing w:val="0"/>
    </w:rPr>
  </w:style>
  <w:style w:type="paragraph" w:customStyle="1" w:styleId="Nameditemlist">
    <w:name w:val="Named item list"/>
    <w:basedOn w:val="BodyText"/>
    <w:qFormat/>
    <w:rsid w:val="00B85A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4614</Characters>
  <Application>Microsoft Office Word</Application>
  <DocSecurity>0</DocSecurity>
  <Lines>167</Lines>
  <Paragraphs>82</Paragraphs>
  <ScaleCrop>false</ScaleCrop>
  <Company>Author-it Software Corporation Ltd.</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MSFGG4001 Apply standards and codes of practice for the glass industry</dc:title>
  <dc:subject>Approved</dc:subject>
  <dc:creator>Manufacturing Skills Australia</dc:creator>
  <cp:keywords>Release: 2</cp:keywords>
  <dc:description>Review Date: 12 April 2008</dc:description>
  <cp:lastModifiedBy>TPCMS</cp:lastModifiedBy>
  <cp:revision>3</cp:revision>
  <dcterms:created xsi:type="dcterms:W3CDTF">2016-12-09T04:07:00Z</dcterms:created>
  <dcterms:modified xsi:type="dcterms:W3CDTF">2016-12-09T04:07:00Z</dcterms:modified>
</cp:coreProperties>
</file>