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3CF" w:rsidP="00B033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MSFGG3040 Move block and bulk glass sheet by mechanical means</w:t>
      </w:r>
      <w:r>
        <w:fldChar w:fldCharType="end"/>
      </w:r>
    </w:p>
    <w:p w:rsidR="00B033CF" w:rsidP="00B033CF">
      <w:pPr>
        <w:pStyle w:val="Version"/>
        <w:sectPr w:rsidSect="00B245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56A" w:rsidP="00B2456A">
      <w:pPr>
        <w:pStyle w:val="SuperHeading"/>
      </w:pPr>
      <w:r w:rsidRPr="00B2456A">
        <w:t>Assessment Requirements for MSFGG3040 Move block and bulk glass sheet by mechanical means</w:t>
      </w:r>
    </w:p>
    <w:p w:rsidR="00000000" w:rsidRPr="00B2456A" w:rsidP="00B2456A">
      <w:pPr>
        <w:pStyle w:val="Heading1"/>
      </w:pPr>
      <w:bookmarkStart w:id="1" w:name="O_1015291"/>
      <w:bookmarkEnd w:id="1"/>
      <w:r w:rsidRPr="00B2456A">
        <w:t>Modification History</w:t>
      </w:r>
    </w:p>
    <w:p w:rsidR="00B033CF" w:rsidP="00B033CF">
      <w:pPr>
        <w:pStyle w:val="BodyText"/>
      </w:pPr>
      <w:r w:rsidRPr="00B2456A">
        <w:t>Release 1. Supersedes and is equivalent to MSFGG3003 Move block and bulk glass sheet by mechanical means.</w:t>
      </w:r>
    </w:p>
    <w:p w:rsidR="00000000" w:rsidRPr="00B2456A" w:rsidP="00B2456A">
      <w:pPr>
        <w:pStyle w:val="Heading1"/>
      </w:pPr>
      <w:bookmarkStart w:id="2" w:name="O_1015294"/>
      <w:bookmarkEnd w:id="2"/>
      <w:r w:rsidRPr="00B2456A">
        <w:t>Performance Evidence</w:t>
      </w:r>
    </w:p>
    <w:p w:rsidR="00000000" w:rsidRPr="00B2456A" w:rsidP="00B033CF">
      <w:pPr>
        <w:pStyle w:val="BodyText"/>
      </w:pPr>
      <w:r w:rsidRPr="00B2456A">
        <w:t xml:space="preserve">There must be evidence the candidate has completed the tasks outlined in the elements and performance criteria of this unit, and: </w:t>
      </w:r>
    </w:p>
    <w:p w:rsidR="00000000" w:rsidRPr="00B2456A" w:rsidP="00B2456A">
      <w:pPr>
        <w:pStyle w:val="ListBullet"/>
      </w:pPr>
      <w:r w:rsidRPr="00B2456A">
        <w:t>relocated mid-range (at least 2440x3660mm) block glass in accordance with safety requirements and all r</w:t>
      </w:r>
      <w:r w:rsidRPr="00B2456A">
        <w:t>elevant regulations and Australian Standards:</w:t>
      </w:r>
    </w:p>
    <w:p w:rsidR="00000000" w:rsidRPr="00B2456A" w:rsidP="00B2456A">
      <w:pPr>
        <w:pStyle w:val="ListBullet2"/>
      </w:pPr>
      <w:r w:rsidRPr="00B2456A">
        <w:t xml:space="preserve">on 3 different occasions </w:t>
      </w:r>
    </w:p>
    <w:p w:rsidR="00000000" w:rsidRPr="00B2456A" w:rsidP="00B2456A">
      <w:pPr>
        <w:pStyle w:val="ListBullet2"/>
      </w:pPr>
      <w:r w:rsidRPr="00B2456A">
        <w:t xml:space="preserve">used block lifters in conjunction with gantry cranes </w:t>
      </w:r>
    </w:p>
    <w:p w:rsidR="00000000" w:rsidRPr="00B2456A" w:rsidP="00B2456A">
      <w:pPr>
        <w:pStyle w:val="ListBullet2"/>
      </w:pPr>
      <w:r w:rsidRPr="00B2456A">
        <w:t>completed relocations that involve at least 2 of the following:</w:t>
      </w:r>
    </w:p>
    <w:p w:rsidR="00000000" w:rsidRPr="00B2456A" w:rsidP="00B2456A">
      <w:pPr>
        <w:pStyle w:val="ListBullet3"/>
      </w:pPr>
      <w:r w:rsidRPr="00B2456A">
        <w:t>trucks</w:t>
      </w:r>
    </w:p>
    <w:p w:rsidR="00000000" w:rsidRPr="00B2456A" w:rsidP="00B2456A">
      <w:pPr>
        <w:pStyle w:val="ListBullet3"/>
      </w:pPr>
      <w:r w:rsidRPr="00B2456A">
        <w:t>containers</w:t>
      </w:r>
    </w:p>
    <w:p w:rsidR="00000000" w:rsidRPr="00B2456A" w:rsidP="00B2456A">
      <w:pPr>
        <w:pStyle w:val="ListBullet3"/>
      </w:pPr>
      <w:r w:rsidRPr="00B2456A">
        <w:t>freefall or fixed racks or frame trolley</w:t>
      </w:r>
    </w:p>
    <w:p w:rsidR="00B033CF" w:rsidP="00B2456A">
      <w:pPr>
        <w:pStyle w:val="ListBullet"/>
      </w:pPr>
      <w:r w:rsidRPr="00B2456A">
        <w:t>relocated end caps and/or cases using chains and/or slings in conjunction with gantry cranes at least once.</w:t>
      </w:r>
    </w:p>
    <w:p w:rsidR="00B033CF" w:rsidP="00B2456A">
      <w:pPr>
        <w:pStyle w:val="ListBullet"/>
      </w:pPr>
    </w:p>
    <w:p w:rsidR="00000000" w:rsidRPr="00B2456A" w:rsidP="00B2456A">
      <w:pPr>
        <w:pStyle w:val="Heading1"/>
      </w:pPr>
      <w:bookmarkStart w:id="3" w:name="O_1015293"/>
      <w:bookmarkEnd w:id="3"/>
      <w:r w:rsidRPr="00B2456A">
        <w:t>Knowledge Evidence</w:t>
      </w:r>
    </w:p>
    <w:p w:rsidR="00000000" w:rsidRPr="00B2456A" w:rsidP="00B033CF">
      <w:pPr>
        <w:pStyle w:val="BodyText"/>
      </w:pPr>
      <w:r w:rsidRPr="00B2456A">
        <w:t>There must be evidence the candidate has knowledge of:</w:t>
      </w:r>
    </w:p>
    <w:p w:rsidR="00000000" w:rsidRPr="00B2456A" w:rsidP="00B2456A">
      <w:pPr>
        <w:pStyle w:val="ListBullet"/>
      </w:pPr>
      <w:r w:rsidRPr="00B2456A">
        <w:t>mathematical procedures for calculation of glass weig</w:t>
      </w:r>
      <w:r w:rsidRPr="00B2456A">
        <w:t>ht</w:t>
      </w:r>
    </w:p>
    <w:p w:rsidR="00000000" w:rsidRPr="00B2456A" w:rsidP="00B2456A">
      <w:pPr>
        <w:pStyle w:val="ListBullet"/>
      </w:pPr>
      <w:r w:rsidRPr="00B2456A">
        <w:t>block and bulk glass movement by mechanical means:</w:t>
      </w:r>
    </w:p>
    <w:p w:rsidR="00000000" w:rsidRPr="00B2456A" w:rsidP="00B2456A">
      <w:pPr>
        <w:pStyle w:val="ListBullet2"/>
      </w:pPr>
      <w:r w:rsidRPr="00B2456A">
        <w:t>quality, characteristics and behaviour of block glass sheet when lifted and moved</w:t>
      </w:r>
    </w:p>
    <w:p w:rsidR="00000000" w:rsidRPr="00B2456A" w:rsidP="00B2456A">
      <w:pPr>
        <w:pStyle w:val="ListBullet2"/>
      </w:pPr>
      <w:r w:rsidRPr="00B2456A">
        <w:t>risks and hazards</w:t>
      </w:r>
    </w:p>
    <w:p w:rsidR="00000000" w:rsidRPr="00B2456A" w:rsidP="00B2456A">
      <w:pPr>
        <w:pStyle w:val="ListBullet2"/>
      </w:pPr>
      <w:r w:rsidRPr="00B2456A">
        <w:t>workplace safety system requirements</w:t>
      </w:r>
    </w:p>
    <w:p w:rsidR="00000000" w:rsidRPr="00B2456A" w:rsidP="00B2456A">
      <w:pPr>
        <w:pStyle w:val="ListBullet2"/>
      </w:pPr>
      <w:r w:rsidRPr="00B2456A">
        <w:t xml:space="preserve">work flow requirements </w:t>
      </w:r>
    </w:p>
    <w:p w:rsidR="00000000" w:rsidRPr="00B2456A" w:rsidP="00B2456A">
      <w:pPr>
        <w:pStyle w:val="ListBullet2"/>
      </w:pPr>
      <w:r w:rsidRPr="00B2456A">
        <w:t>principles and techniques, the types of problems that may occur and how to avoid and respond</w:t>
      </w:r>
    </w:p>
    <w:p w:rsidR="00000000" w:rsidRPr="00B2456A" w:rsidP="00B2456A">
      <w:pPr>
        <w:pStyle w:val="ListBullet"/>
      </w:pPr>
      <w:r w:rsidRPr="00B2456A">
        <w:t>capabilities, operating processes and procedures for mechanical handling equipment:</w:t>
      </w:r>
    </w:p>
    <w:p w:rsidR="00000000" w:rsidRPr="00B2456A" w:rsidP="00B2456A">
      <w:pPr>
        <w:pStyle w:val="ListBullet2"/>
      </w:pPr>
      <w:r w:rsidRPr="00B2456A">
        <w:t xml:space="preserve">gantry cranes </w:t>
      </w:r>
    </w:p>
    <w:p w:rsidR="00000000" w:rsidRPr="00B2456A" w:rsidP="00B2456A">
      <w:pPr>
        <w:pStyle w:val="ListBullet2"/>
      </w:pPr>
      <w:r w:rsidRPr="00B2456A">
        <w:t>block lifters</w:t>
      </w:r>
    </w:p>
    <w:p w:rsidR="00000000" w:rsidRPr="00B2456A" w:rsidP="00B2456A">
      <w:pPr>
        <w:pStyle w:val="ListBullet2"/>
      </w:pPr>
      <w:r w:rsidRPr="00B2456A">
        <w:t xml:space="preserve">slings and chains (Australian Standards AS 1418 </w:t>
      </w:r>
      <w:r w:rsidRPr="00B2456A">
        <w:t>and licensing requirements)</w:t>
      </w:r>
    </w:p>
    <w:p w:rsidR="00000000" w:rsidRPr="00B2456A" w:rsidP="00B2456A">
      <w:pPr>
        <w:pStyle w:val="ListBullet"/>
      </w:pPr>
      <w:r w:rsidRPr="00B2456A">
        <w:t>specific issues associated with the loading and unloading of containers</w:t>
      </w:r>
    </w:p>
    <w:p w:rsidR="00000000" w:rsidRPr="00B2456A" w:rsidP="00B2456A">
      <w:pPr>
        <w:pStyle w:val="ListBullet"/>
      </w:pPr>
      <w:r w:rsidRPr="00B2456A">
        <w:t>features of block and bulk glass storage systems</w:t>
      </w:r>
    </w:p>
    <w:p w:rsidR="00B033CF" w:rsidP="00B2456A">
      <w:pPr>
        <w:pStyle w:val="ListBullet"/>
      </w:pPr>
      <w:r w:rsidRPr="00B2456A">
        <w:t>documentation requirements for glass movement.</w:t>
      </w:r>
    </w:p>
    <w:p w:rsidR="00B033CF" w:rsidP="00B2456A">
      <w:pPr>
        <w:pStyle w:val="ListBullet"/>
      </w:pPr>
    </w:p>
    <w:p w:rsidR="00000000" w:rsidRPr="00B2456A" w:rsidP="00B2456A">
      <w:pPr>
        <w:pStyle w:val="Heading1"/>
      </w:pPr>
      <w:bookmarkStart w:id="4" w:name="O_1015292"/>
      <w:bookmarkEnd w:id="4"/>
      <w:r w:rsidRPr="00B2456A">
        <w:t>Assessment Conditions</w:t>
      </w:r>
    </w:p>
    <w:p w:rsidR="00000000" w:rsidRPr="00B2456A" w:rsidP="00B033CF">
      <w:pPr>
        <w:pStyle w:val="BodyText"/>
      </w:pPr>
      <w:r w:rsidRPr="00B2456A">
        <w:t>Skills must hav</w:t>
      </w:r>
      <w:r w:rsidRPr="00B2456A">
        <w:t xml:space="preserve">e been demonstrated in the workplace or in a simulated environment that reflects workplace conditions and contingencies. The following conditions must be met for this unit: </w:t>
      </w:r>
    </w:p>
    <w:p w:rsidR="00000000" w:rsidRPr="00B2456A" w:rsidP="00B2456A">
      <w:pPr>
        <w:pStyle w:val="ListBullet"/>
      </w:pPr>
      <w:r w:rsidRPr="00B2456A">
        <w:t xml:space="preserve">use of suitable facilities, equipment and resources, including: </w:t>
      </w:r>
    </w:p>
    <w:p w:rsidR="00000000" w:rsidRPr="00B2456A" w:rsidP="00B2456A">
      <w:pPr>
        <w:pStyle w:val="ListBullet2"/>
      </w:pPr>
      <w:r w:rsidRPr="00B2456A">
        <w:t>glass storage a</w:t>
      </w:r>
      <w:r w:rsidRPr="00B2456A">
        <w:t>nd handling area</w:t>
      </w:r>
    </w:p>
    <w:p w:rsidR="00000000" w:rsidRPr="00B2456A" w:rsidP="00B2456A">
      <w:pPr>
        <w:pStyle w:val="ListBullet2"/>
      </w:pPr>
      <w:r w:rsidRPr="00B2456A">
        <w:t xml:space="preserve">equipment, tools and materials as specified in the Performance Evidence </w:t>
      </w:r>
    </w:p>
    <w:p w:rsidR="00000000" w:rsidRPr="00B2456A" w:rsidP="00B2456A">
      <w:pPr>
        <w:pStyle w:val="ListBullet2"/>
      </w:pPr>
      <w:r w:rsidRPr="00B2456A">
        <w:t>block and bulk glass sheet to be relocated</w:t>
      </w:r>
    </w:p>
    <w:p w:rsidR="00000000" w:rsidRPr="00B2456A" w:rsidP="00B2456A">
      <w:pPr>
        <w:pStyle w:val="ListBullet2"/>
      </w:pPr>
      <w:r w:rsidRPr="00B2456A">
        <w:t>safety and personal protective equipment</w:t>
      </w:r>
    </w:p>
    <w:p w:rsidR="00000000" w:rsidRPr="00B2456A" w:rsidP="00B2456A">
      <w:pPr>
        <w:pStyle w:val="ListBullet2"/>
      </w:pPr>
      <w:r w:rsidRPr="00B2456A">
        <w:t xml:space="preserve">work orders </w:t>
      </w:r>
    </w:p>
    <w:p w:rsidR="00000000" w:rsidRPr="00B2456A" w:rsidP="00B2456A">
      <w:pPr>
        <w:pStyle w:val="ListBullet2"/>
      </w:pPr>
      <w:r w:rsidRPr="00B2456A">
        <w:t>workplace procedures.</w:t>
      </w:r>
    </w:p>
    <w:p w:rsidR="00B033CF" w:rsidP="00B033CF">
      <w:pPr>
        <w:pStyle w:val="BodyText"/>
      </w:pPr>
      <w:r w:rsidRPr="00B2456A">
        <w:t>Assessors must satisfy the NVR/AQTF mandatory c</w:t>
      </w:r>
      <w:r w:rsidRPr="00B2456A">
        <w:t>ompetency requirements for assessors.</w:t>
      </w:r>
    </w:p>
    <w:p w:rsidR="00000000" w:rsidRPr="00B2456A" w:rsidP="00B2456A">
      <w:pPr>
        <w:pStyle w:val="Heading1"/>
      </w:pPr>
      <w:bookmarkStart w:id="5" w:name="O_1015290"/>
      <w:bookmarkEnd w:id="5"/>
      <w:r w:rsidRPr="00B2456A">
        <w:t>Links</w:t>
      </w:r>
    </w:p>
    <w:p w:rsidR="00000000" w:rsidRPr="00B2456A" w:rsidP="00B033CF">
      <w:pPr>
        <w:pStyle w:val="BodyText"/>
      </w:pPr>
      <w:r w:rsidRPr="00B245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D3C4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2456A" w:rsidP="00B2456A"/>
    <w:sectPr w:rsidSect="00B245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5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56A" w:rsidRPr="00B033CF" w:rsidP="00B033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5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3CF" w:rsidP="00B245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33CF" w:rsidP="00B245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033CF" w:rsidP="00B245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5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3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56A" w:rsidRPr="00B033CF" w:rsidP="00B033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5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3CF" w:rsidRPr="002D2AF8" w:rsidP="00B245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MSFGG3040 Move block and bulk glass sheet by mechanical means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033CF" w:rsidP="00B245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6C18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BAD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509D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5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5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5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5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5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5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5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5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5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5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5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56A"/>
  </w:style>
  <w:style w:type="character" w:customStyle="1" w:styleId="Heading1Char">
    <w:name w:val="Heading 1 Char"/>
    <w:basedOn w:val="DefaultParagraphFont"/>
    <w:link w:val="Heading1"/>
    <w:rsid w:val="00B245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5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5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56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456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45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5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2456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245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5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5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5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5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5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5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5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5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5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5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5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5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5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5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5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456A"/>
    <w:rPr>
      <w:b/>
      <w:spacing w:val="0"/>
    </w:rPr>
  </w:style>
  <w:style w:type="paragraph" w:customStyle="1" w:styleId="SuperTitle">
    <w:name w:val="SuperTitle"/>
    <w:basedOn w:val="Title"/>
    <w:rsid w:val="00B245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5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5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45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5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5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5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5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5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5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5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5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456A"/>
    <w:rPr>
      <w:i/>
    </w:rPr>
  </w:style>
  <w:style w:type="paragraph" w:styleId="Caption">
    <w:name w:val="caption"/>
    <w:basedOn w:val="BodyText"/>
    <w:next w:val="Normal"/>
    <w:qFormat/>
    <w:rsid w:val="00B245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5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5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56A"/>
  </w:style>
  <w:style w:type="paragraph" w:styleId="TableofFigures">
    <w:name w:val="table of figures"/>
    <w:basedOn w:val="Normal"/>
    <w:next w:val="Normal"/>
    <w:semiHidden/>
    <w:rsid w:val="00B245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56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2456A"/>
    <w:rPr>
      <w:rFonts w:ascii="Wingdings" w:hAnsi="Wingdings"/>
    </w:rPr>
  </w:style>
  <w:style w:type="paragraph" w:customStyle="1" w:styleId="TableHeading">
    <w:name w:val="Table Heading"/>
    <w:basedOn w:val="HeadingBase"/>
    <w:rsid w:val="00B245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56A"/>
    <w:rPr>
      <w:color w:val="0033CC"/>
      <w:u w:val="none"/>
    </w:rPr>
  </w:style>
  <w:style w:type="paragraph" w:customStyle="1" w:styleId="BodyTextRight">
    <w:name w:val="Body Text Right"/>
    <w:basedOn w:val="BodyText"/>
    <w:rsid w:val="00B245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5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56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5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5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5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56A"/>
    <w:rPr>
      <w:sz w:val="32"/>
    </w:rPr>
  </w:style>
  <w:style w:type="paragraph" w:customStyle="1" w:styleId="HeadingProcedure">
    <w:name w:val="Heading Procedure"/>
    <w:basedOn w:val="HeadingBase"/>
    <w:next w:val="Normal"/>
    <w:rsid w:val="00B245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56A"/>
    <w:pPr>
      <w:spacing w:before="60" w:after="60"/>
    </w:pPr>
  </w:style>
  <w:style w:type="paragraph" w:styleId="ListContinue">
    <w:name w:val="List Continue"/>
    <w:basedOn w:val="List"/>
    <w:rsid w:val="00B2456A"/>
    <w:pPr>
      <w:ind w:firstLine="0"/>
    </w:pPr>
  </w:style>
  <w:style w:type="paragraph" w:customStyle="1" w:styleId="ListNote">
    <w:name w:val="List Note"/>
    <w:basedOn w:val="List"/>
    <w:rsid w:val="00B245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5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5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56A"/>
    <w:rPr>
      <w:rFonts w:ascii="Courier New" w:hAnsi="Courier New"/>
    </w:rPr>
  </w:style>
  <w:style w:type="paragraph" w:customStyle="1" w:styleId="NoteBullet">
    <w:name w:val="Note Bullet"/>
    <w:basedOn w:val="Note"/>
    <w:rsid w:val="00B245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5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5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5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5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245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5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56A"/>
    <w:rPr>
      <w:b/>
      <w:smallCaps/>
    </w:rPr>
  </w:style>
  <w:style w:type="paragraph" w:customStyle="1" w:styleId="TableListNumber">
    <w:name w:val="Table List Number"/>
    <w:basedOn w:val="ListNumber"/>
    <w:rsid w:val="00B245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5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56A"/>
    <w:pPr>
      <w:numPr>
        <w:numId w:val="10"/>
      </w:numPr>
    </w:pPr>
  </w:style>
  <w:style w:type="paragraph" w:customStyle="1" w:styleId="ListAlpha2">
    <w:name w:val="List Alpha 2"/>
    <w:basedOn w:val="List2"/>
    <w:rsid w:val="00B2456A"/>
    <w:pPr>
      <w:numPr>
        <w:numId w:val="9"/>
      </w:numPr>
    </w:pPr>
  </w:style>
  <w:style w:type="paragraph" w:styleId="List2">
    <w:name w:val="List 2"/>
    <w:basedOn w:val="BodyText"/>
    <w:rsid w:val="00B245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5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5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56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2456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2456A"/>
    <w:pPr>
      <w:numPr>
        <w:numId w:val="5"/>
      </w:numPr>
    </w:pPr>
  </w:style>
  <w:style w:type="paragraph" w:styleId="ListContinue2">
    <w:name w:val="List Continue 2"/>
    <w:basedOn w:val="List2"/>
    <w:rsid w:val="00B2456A"/>
    <w:pPr>
      <w:ind w:firstLine="0"/>
    </w:pPr>
  </w:style>
  <w:style w:type="paragraph" w:styleId="ListContinue3">
    <w:name w:val="List Continue 3"/>
    <w:basedOn w:val="List3"/>
    <w:rsid w:val="00B2456A"/>
    <w:pPr>
      <w:ind w:left="1021" w:firstLine="0"/>
    </w:pPr>
  </w:style>
  <w:style w:type="paragraph" w:styleId="ListContinue4">
    <w:name w:val="List Continue 4"/>
    <w:basedOn w:val="List4"/>
    <w:rsid w:val="00B2456A"/>
    <w:pPr>
      <w:ind w:firstLine="0"/>
    </w:pPr>
  </w:style>
  <w:style w:type="paragraph" w:styleId="ListContinue5">
    <w:name w:val="List Continue 5"/>
    <w:basedOn w:val="List5"/>
    <w:rsid w:val="00B2456A"/>
    <w:pPr>
      <w:ind w:firstLine="0"/>
    </w:pPr>
  </w:style>
  <w:style w:type="paragraph" w:styleId="ListNumber3">
    <w:name w:val="List Number 3"/>
    <w:basedOn w:val="List3"/>
    <w:rsid w:val="00B2456A"/>
    <w:pPr>
      <w:numPr>
        <w:numId w:val="6"/>
      </w:numPr>
    </w:pPr>
  </w:style>
  <w:style w:type="paragraph" w:styleId="ListNumber4">
    <w:name w:val="List Number 4"/>
    <w:basedOn w:val="List4"/>
    <w:rsid w:val="00B2456A"/>
    <w:pPr>
      <w:numPr>
        <w:numId w:val="7"/>
      </w:numPr>
    </w:pPr>
  </w:style>
  <w:style w:type="paragraph" w:styleId="ListNumber5">
    <w:name w:val="List Number 5"/>
    <w:basedOn w:val="List5"/>
    <w:rsid w:val="00B2456A"/>
    <w:pPr>
      <w:numPr>
        <w:numId w:val="8"/>
      </w:numPr>
    </w:pPr>
  </w:style>
  <w:style w:type="paragraph" w:styleId="BlockText">
    <w:name w:val="Block Text"/>
    <w:basedOn w:val="Normal"/>
    <w:rsid w:val="00B245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5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56A"/>
    <w:rPr>
      <w:sz w:val="16"/>
      <w:vertAlign w:val="superscript"/>
    </w:rPr>
  </w:style>
  <w:style w:type="character" w:customStyle="1" w:styleId="Symbols">
    <w:name w:val="Symbols"/>
    <w:basedOn w:val="DefaultParagraphFont"/>
    <w:rsid w:val="00B2456A"/>
    <w:rPr>
      <w:rFonts w:ascii="Symbol" w:hAnsi="Symbol"/>
    </w:rPr>
  </w:style>
  <w:style w:type="character" w:customStyle="1" w:styleId="MenuOptions">
    <w:name w:val="Menu Options"/>
    <w:basedOn w:val="DefaultParagraphFont"/>
    <w:rsid w:val="00B245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56A"/>
    <w:rPr>
      <w:b/>
    </w:rPr>
  </w:style>
  <w:style w:type="character" w:customStyle="1" w:styleId="Underlined">
    <w:name w:val="Underlined"/>
    <w:basedOn w:val="DefaultParagraphFont"/>
    <w:rsid w:val="00B2456A"/>
    <w:rPr>
      <w:u w:val="single"/>
    </w:rPr>
  </w:style>
  <w:style w:type="paragraph" w:customStyle="1" w:styleId="TableBodyTextRight">
    <w:name w:val="Table Body Text Right"/>
    <w:basedOn w:val="TableBodyText"/>
    <w:rsid w:val="00B245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56A"/>
    <w:rPr>
      <w:sz w:val="18"/>
    </w:rPr>
  </w:style>
  <w:style w:type="paragraph" w:customStyle="1" w:styleId="BodySmallRight">
    <w:name w:val="Body Small Right"/>
    <w:basedOn w:val="BodyTextRight"/>
    <w:rsid w:val="00B2456A"/>
    <w:rPr>
      <w:sz w:val="18"/>
      <w:szCs w:val="18"/>
    </w:rPr>
  </w:style>
  <w:style w:type="paragraph" w:customStyle="1" w:styleId="MarginEdition">
    <w:name w:val="Margin Edition"/>
    <w:basedOn w:val="MarginNote"/>
    <w:rsid w:val="00B245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56A"/>
    <w:rPr>
      <w:sz w:val="2"/>
      <w:szCs w:val="2"/>
    </w:rPr>
  </w:style>
  <w:style w:type="character" w:customStyle="1" w:styleId="Small">
    <w:name w:val="Small"/>
    <w:basedOn w:val="DefaultParagraphFont"/>
    <w:rsid w:val="00B2456A"/>
    <w:rPr>
      <w:sz w:val="16"/>
    </w:rPr>
  </w:style>
  <w:style w:type="paragraph" w:customStyle="1" w:styleId="WideTable">
    <w:name w:val="Wide Table"/>
    <w:basedOn w:val="Normal"/>
    <w:rsid w:val="00B245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56A"/>
  </w:style>
  <w:style w:type="paragraph" w:styleId="Quote">
    <w:name w:val="Quote"/>
    <w:basedOn w:val="Heading1"/>
    <w:link w:val="QuoteChar"/>
    <w:qFormat/>
    <w:rsid w:val="00B245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5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56A"/>
    <w:pPr>
      <w:pageBreakBefore/>
    </w:pPr>
  </w:style>
  <w:style w:type="paragraph" w:customStyle="1" w:styleId="Border">
    <w:name w:val="Border"/>
    <w:basedOn w:val="Normal"/>
    <w:qFormat/>
    <w:rsid w:val="00B245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5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5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5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5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5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5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5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5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56A"/>
    <w:rPr>
      <w:u w:val="single"/>
    </w:rPr>
  </w:style>
  <w:style w:type="character" w:customStyle="1" w:styleId="BoldandItalics">
    <w:name w:val="Bold and Italics"/>
    <w:qFormat/>
    <w:rsid w:val="00B2456A"/>
    <w:rPr>
      <w:b/>
      <w:i/>
      <w:u w:val="none"/>
    </w:rPr>
  </w:style>
  <w:style w:type="paragraph" w:styleId="BalloonText">
    <w:name w:val="Balloon Text"/>
    <w:basedOn w:val="Normal"/>
    <w:link w:val="BalloonTextChar"/>
    <w:rsid w:val="00B245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5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5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5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5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5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56A"/>
    <w:pPr>
      <w:spacing w:before="0" w:after="0"/>
    </w:pPr>
  </w:style>
  <w:style w:type="paragraph" w:customStyle="1" w:styleId="BodyTextBold">
    <w:name w:val="Body Text Bold"/>
    <w:basedOn w:val="BodyText"/>
    <w:qFormat/>
    <w:rsid w:val="00B2456A"/>
    <w:rPr>
      <w:b/>
    </w:rPr>
  </w:style>
  <w:style w:type="character" w:styleId="Hyperlink">
    <w:name w:val="Hyperlink"/>
    <w:basedOn w:val="DefaultParagraphFont"/>
    <w:uiPriority w:val="99"/>
    <w:unhideWhenUsed/>
    <w:rsid w:val="00B033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2274</Characters>
  <Application>Microsoft Office Word</Application>
  <DocSecurity>0</DocSecurity>
  <Lines>63</Lines>
  <Paragraphs>52</Paragraphs>
  <ScaleCrop>false</ScaleCrop>
  <Company>Author-it Software Corporation Ltd.</Company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MSFGG3040 Move block and bulk glass sheet by mechanical means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2022-12-21T05:50:00Z</dcterms:created>
  <dcterms:modified xsi:type="dcterms:W3CDTF">2022-12-21T05:50:00Z</dcterms:modified>
</cp:coreProperties>
</file>