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6B8" w:rsidP="00235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MSFGG3038 Conduct commercial and structural reglazing</w:t>
      </w:r>
      <w:r>
        <w:fldChar w:fldCharType="end"/>
      </w:r>
    </w:p>
    <w:p w:rsidR="002356B8" w:rsidP="002356B8">
      <w:pPr>
        <w:pStyle w:val="Version"/>
        <w:sectPr w:rsidSect="00CF4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925" w:rsidP="00CF4925">
      <w:pPr>
        <w:pStyle w:val="SuperHeading"/>
      </w:pPr>
      <w:r w:rsidRPr="00CF4925">
        <w:t>Assessment Requirements for MSFGG3038 Conduct commercial and structural reglazing</w:t>
      </w:r>
    </w:p>
    <w:p w:rsidR="00000000" w:rsidRPr="00CF4925" w:rsidP="00CF4925">
      <w:pPr>
        <w:pStyle w:val="Heading1"/>
      </w:pPr>
      <w:bookmarkStart w:id="1" w:name="O_1014769"/>
      <w:bookmarkEnd w:id="1"/>
      <w:r w:rsidRPr="00CF4925">
        <w:t>Modification History</w:t>
      </w:r>
    </w:p>
    <w:p w:rsidR="002356B8" w:rsidP="002356B8">
      <w:pPr>
        <w:pStyle w:val="BodyText"/>
      </w:pPr>
      <w:r w:rsidRPr="00CF4925">
        <w:t>Release 1. Supersedes and is equivalent to MSFGG3019 Conduct commercial and structural re-glazing.</w:t>
      </w:r>
    </w:p>
    <w:p w:rsidR="00000000" w:rsidRPr="00CF4925" w:rsidP="00CF4925">
      <w:pPr>
        <w:pStyle w:val="Heading1"/>
      </w:pPr>
      <w:bookmarkStart w:id="2" w:name="O_1014772"/>
      <w:bookmarkEnd w:id="2"/>
      <w:r w:rsidRPr="00CF4925">
        <w:t>Performance Evidence</w:t>
      </w:r>
    </w:p>
    <w:p w:rsidR="00000000" w:rsidRPr="00CF4925" w:rsidP="002356B8">
      <w:pPr>
        <w:pStyle w:val="BodyText"/>
      </w:pPr>
      <w:r w:rsidRPr="00CF4925">
        <w:t xml:space="preserve">There must be evidence the candidate has completed the tasks outlined in the elements and performance criteria of this unit, and: </w:t>
      </w:r>
    </w:p>
    <w:p w:rsidR="00000000" w:rsidRPr="00CF4925" w:rsidP="00CF4925">
      <w:pPr>
        <w:pStyle w:val="ListBullet"/>
      </w:pPr>
      <w:r w:rsidRPr="00CF4925">
        <w:t xml:space="preserve">accurately measured glass in accordance with job specifications for all of the following: </w:t>
      </w:r>
    </w:p>
    <w:p w:rsidR="00000000" w:rsidRPr="00CF4925" w:rsidP="00CF4925">
      <w:pPr>
        <w:pStyle w:val="ListBullet2"/>
      </w:pPr>
      <w:r w:rsidRPr="00CF4925">
        <w:t>curved glas</w:t>
      </w:r>
      <w:r w:rsidRPr="00CF4925">
        <w:t>s</w:t>
      </w:r>
    </w:p>
    <w:p w:rsidR="00000000" w:rsidRPr="00CF4925" w:rsidP="00CF4925">
      <w:pPr>
        <w:pStyle w:val="ListBullet2"/>
      </w:pPr>
      <w:r w:rsidRPr="00CF4925">
        <w:t>doors</w:t>
      </w:r>
    </w:p>
    <w:p w:rsidR="00000000" w:rsidRPr="00CF4925" w:rsidP="00CF4925">
      <w:pPr>
        <w:pStyle w:val="ListBullet2"/>
      </w:pPr>
      <w:r w:rsidRPr="00CF4925">
        <w:t>sliding tracks</w:t>
      </w:r>
    </w:p>
    <w:p w:rsidR="00000000" w:rsidRPr="00CF4925" w:rsidP="00CF4925">
      <w:pPr>
        <w:pStyle w:val="ListBullet2"/>
      </w:pPr>
      <w:r w:rsidRPr="00CF4925">
        <w:t>shopfronts and returns</w:t>
      </w:r>
    </w:p>
    <w:p w:rsidR="00000000" w:rsidRPr="00CF4925" w:rsidP="00CF4925">
      <w:pPr>
        <w:pStyle w:val="ListBullet2"/>
      </w:pPr>
      <w:r w:rsidRPr="00CF4925">
        <w:t>curtain wall</w:t>
      </w:r>
    </w:p>
    <w:p w:rsidR="00000000" w:rsidRPr="00CF4925" w:rsidP="00CF4925">
      <w:pPr>
        <w:pStyle w:val="ListBullet2"/>
      </w:pPr>
      <w:r w:rsidRPr="00CF4925">
        <w:t>structural and/or overhead glazing</w:t>
      </w:r>
    </w:p>
    <w:p w:rsidR="00000000" w:rsidRPr="00CF4925" w:rsidP="00CF4925">
      <w:pPr>
        <w:pStyle w:val="ListBullet"/>
      </w:pPr>
      <w:r w:rsidRPr="00CF4925">
        <w:t>used 3 different commercial products, one of which must be curved glass</w:t>
      </w:r>
    </w:p>
    <w:p w:rsidR="00000000" w:rsidRPr="00CF4925" w:rsidP="00CF4925">
      <w:pPr>
        <w:pStyle w:val="ListBullet"/>
      </w:pPr>
      <w:r w:rsidRPr="00CF4925">
        <w:t>used the following glazing methods:</w:t>
      </w:r>
    </w:p>
    <w:p w:rsidR="00000000" w:rsidRPr="00CF4925" w:rsidP="00CF4925">
      <w:pPr>
        <w:pStyle w:val="ListBullet2"/>
      </w:pPr>
      <w:r w:rsidRPr="00CF4925">
        <w:t>pocket</w:t>
      </w:r>
    </w:p>
    <w:p w:rsidR="00000000" w:rsidRPr="00CF4925" w:rsidP="00CF4925">
      <w:pPr>
        <w:pStyle w:val="ListBullet2"/>
      </w:pPr>
      <w:r w:rsidRPr="00CF4925">
        <w:t>flush</w:t>
      </w:r>
    </w:p>
    <w:p w:rsidR="00000000" w:rsidRPr="00CF4925" w:rsidP="00CF4925">
      <w:pPr>
        <w:pStyle w:val="ListBullet2"/>
      </w:pPr>
      <w:r w:rsidRPr="00CF4925">
        <w:t>channel glazing</w:t>
      </w:r>
    </w:p>
    <w:p w:rsidR="002356B8" w:rsidP="00CF4925">
      <w:pPr>
        <w:pStyle w:val="ListBullet2"/>
      </w:pPr>
      <w:r w:rsidRPr="00CF4925">
        <w:t>structural and double glazing.</w:t>
      </w:r>
    </w:p>
    <w:p w:rsidR="002356B8" w:rsidP="00CF4925">
      <w:pPr>
        <w:pStyle w:val="ListBullet2"/>
      </w:pPr>
    </w:p>
    <w:p w:rsidR="00000000" w:rsidRPr="00CF4925" w:rsidP="00CF4925">
      <w:pPr>
        <w:pStyle w:val="Heading1"/>
      </w:pPr>
      <w:bookmarkStart w:id="3" w:name="O_1014771"/>
      <w:bookmarkEnd w:id="3"/>
      <w:r w:rsidRPr="00CF4925">
        <w:t>Knowledge Evidence</w:t>
      </w:r>
    </w:p>
    <w:p w:rsidR="00000000" w:rsidRPr="00CF4925" w:rsidP="002356B8">
      <w:pPr>
        <w:pStyle w:val="BodyText"/>
      </w:pPr>
      <w:r w:rsidRPr="00CF4925">
        <w:t>There must be evidence the candidate has knowledge of:</w:t>
      </w:r>
    </w:p>
    <w:p w:rsidR="00000000" w:rsidRPr="00CF4925" w:rsidP="00CF4925">
      <w:pPr>
        <w:pStyle w:val="ListBullet"/>
      </w:pPr>
      <w:r w:rsidRPr="00CF4925">
        <w:t>Australian Standards, their purpose and key provisions:</w:t>
      </w:r>
    </w:p>
    <w:p w:rsidR="00000000" w:rsidRPr="00CF4925" w:rsidP="00CF4925">
      <w:pPr>
        <w:pStyle w:val="ListBullet2"/>
      </w:pPr>
      <w:r w:rsidRPr="00CF4925">
        <w:t>AS 1288</w:t>
      </w:r>
    </w:p>
    <w:p w:rsidR="00000000" w:rsidRPr="00CF4925" w:rsidP="00CF4925">
      <w:pPr>
        <w:pStyle w:val="ListBullet2"/>
      </w:pPr>
      <w:r w:rsidRPr="00CF4925">
        <w:t>AS/NZS 466</w:t>
      </w:r>
    </w:p>
    <w:p w:rsidR="00000000" w:rsidRPr="00CF4925" w:rsidP="00CF4925">
      <w:pPr>
        <w:pStyle w:val="ListBullet"/>
      </w:pPr>
      <w:r w:rsidRPr="00CF4925">
        <w:t>regulations and standards for safe working at heights</w:t>
      </w:r>
      <w:r w:rsidRPr="00CF4925">
        <w:t xml:space="preserve"> and on scaffolding</w:t>
      </w:r>
    </w:p>
    <w:p w:rsidR="00000000" w:rsidRPr="00CF4925" w:rsidP="00CF4925">
      <w:pPr>
        <w:pStyle w:val="ListBullet"/>
      </w:pPr>
      <w:r w:rsidRPr="00CF4925">
        <w:t>mathematical procedures for estimation and measurement</w:t>
      </w:r>
    </w:p>
    <w:p w:rsidR="00000000" w:rsidRPr="00CF4925" w:rsidP="00CF4925">
      <w:pPr>
        <w:pStyle w:val="ListBullet"/>
      </w:pPr>
      <w:r w:rsidRPr="00CF4925">
        <w:t>organisational customer communication standards and protocols</w:t>
      </w:r>
    </w:p>
    <w:p w:rsidR="00000000" w:rsidRPr="00CF4925" w:rsidP="00CF4925">
      <w:pPr>
        <w:pStyle w:val="ListBullet"/>
      </w:pPr>
      <w:r w:rsidRPr="00CF4925">
        <w:t>types, characteristics and uses of commercial and structural glazing products</w:t>
      </w:r>
    </w:p>
    <w:p w:rsidR="00000000" w:rsidRPr="00CF4925" w:rsidP="00CF4925">
      <w:pPr>
        <w:pStyle w:val="ListBullet"/>
      </w:pPr>
      <w:r w:rsidRPr="00CF4925">
        <w:t>commercial and structural reglazing:</w:t>
      </w:r>
    </w:p>
    <w:p w:rsidR="00000000" w:rsidRPr="00CF4925" w:rsidP="00CF4925">
      <w:pPr>
        <w:pStyle w:val="ListBullet2"/>
      </w:pPr>
      <w:r w:rsidRPr="00CF4925">
        <w:t xml:space="preserve">workplace safety system requirements </w:t>
      </w:r>
    </w:p>
    <w:p w:rsidR="00000000" w:rsidRPr="00CF4925" w:rsidP="00CF4925">
      <w:pPr>
        <w:pStyle w:val="ListBullet2"/>
      </w:pPr>
      <w:r w:rsidRPr="00CF4925">
        <w:t>work flow requirements for fitting glass</w:t>
      </w:r>
    </w:p>
    <w:p w:rsidR="00000000" w:rsidRPr="00CF4925" w:rsidP="00CF4925">
      <w:pPr>
        <w:pStyle w:val="ListBullet2"/>
      </w:pPr>
      <w:r w:rsidRPr="00CF4925">
        <w:t>qualities and characteristics of glass, including hazards and handling requirements</w:t>
      </w:r>
    </w:p>
    <w:p w:rsidR="00000000" w:rsidRPr="00CF4925" w:rsidP="00CF4925">
      <w:pPr>
        <w:pStyle w:val="ListBullet2"/>
      </w:pPr>
      <w:r w:rsidRPr="00CF4925">
        <w:t>qualities and characteristics of different frame types and how this impacts the glazing proce</w:t>
      </w:r>
      <w:r w:rsidRPr="00CF4925">
        <w:t>ss, including:</w:t>
      </w:r>
    </w:p>
    <w:p w:rsidR="00000000" w:rsidRPr="00CF4925" w:rsidP="00CF4925">
      <w:pPr>
        <w:pStyle w:val="ListBullet3"/>
      </w:pPr>
      <w:r w:rsidRPr="00CF4925">
        <w:t>plastic</w:t>
      </w:r>
    </w:p>
    <w:p w:rsidR="00000000" w:rsidRPr="00CF4925" w:rsidP="00CF4925">
      <w:pPr>
        <w:pStyle w:val="ListBullet3"/>
      </w:pPr>
      <w:r w:rsidRPr="00CF4925">
        <w:t>aluminium</w:t>
      </w:r>
    </w:p>
    <w:p w:rsidR="00000000" w:rsidRPr="00CF4925" w:rsidP="00CF4925">
      <w:pPr>
        <w:pStyle w:val="ListBullet3"/>
      </w:pPr>
      <w:r w:rsidRPr="00CF4925">
        <w:t>steel</w:t>
      </w:r>
    </w:p>
    <w:p w:rsidR="00000000" w:rsidRPr="00CF4925" w:rsidP="00CF4925">
      <w:pPr>
        <w:pStyle w:val="ListBullet3"/>
      </w:pPr>
      <w:r w:rsidRPr="00CF4925">
        <w:t>solid timber</w:t>
      </w:r>
    </w:p>
    <w:p w:rsidR="00000000" w:rsidRPr="00CF4925" w:rsidP="00CF4925">
      <w:pPr>
        <w:pStyle w:val="ListBullet2"/>
      </w:pPr>
      <w:r w:rsidRPr="00CF4925">
        <w:t>considerations for selection of fixing methods</w:t>
      </w:r>
    </w:p>
    <w:p w:rsidR="00000000" w:rsidRPr="00CF4925" w:rsidP="00CF4925">
      <w:pPr>
        <w:pStyle w:val="ListBullet2"/>
      </w:pPr>
      <w:r w:rsidRPr="00CF4925">
        <w:t>techniques, methods, materials and processes for glazing and reglazing, the types of problems that may occur and how to avoid and respond</w:t>
      </w:r>
    </w:p>
    <w:p w:rsidR="00000000" w:rsidRPr="00CF4925" w:rsidP="00CF4925">
      <w:pPr>
        <w:pStyle w:val="ListBullet2"/>
      </w:pPr>
      <w:r w:rsidRPr="00CF4925">
        <w:t>types of silicone products and their use, including structural silicone</w:t>
      </w:r>
    </w:p>
    <w:p w:rsidR="00000000" w:rsidRPr="00CF4925" w:rsidP="00CF4925">
      <w:pPr>
        <w:pStyle w:val="ListBullet2"/>
      </w:pPr>
      <w:r w:rsidRPr="00CF4925">
        <w:t>fabrication methods for different products and how this impacts installation</w:t>
      </w:r>
    </w:p>
    <w:p w:rsidR="00000000" w:rsidRPr="00CF4925" w:rsidP="00CF4925">
      <w:pPr>
        <w:pStyle w:val="ListBullet2"/>
      </w:pPr>
      <w:r w:rsidRPr="00CF4925">
        <w:t>basic fabrication techniques for on-site product adjustments</w:t>
      </w:r>
    </w:p>
    <w:p w:rsidR="00000000" w:rsidRPr="00CF4925" w:rsidP="00CF4925">
      <w:pPr>
        <w:pStyle w:val="ListBullet2"/>
      </w:pPr>
      <w:r w:rsidRPr="00CF4925">
        <w:t>quality assurance</w:t>
      </w:r>
    </w:p>
    <w:p w:rsidR="00000000" w:rsidRPr="00CF4925" w:rsidP="00CF4925">
      <w:pPr>
        <w:pStyle w:val="ListBullet2"/>
      </w:pPr>
      <w:r w:rsidRPr="00CF4925">
        <w:t>types, characteristics, safe</w:t>
      </w:r>
      <w:r w:rsidRPr="00CF4925">
        <w:t xml:space="preserve"> use, maintenance and limitations of installation tools and equipment.</w:t>
      </w:r>
    </w:p>
    <w:p w:rsidR="00000000" w:rsidRPr="00CF4925" w:rsidP="00CF4925">
      <w:pPr>
        <w:pStyle w:val="AllowPageBreak"/>
      </w:pPr>
    </w:p>
    <w:p w:rsidR="00000000" w:rsidRPr="00CF4925" w:rsidP="00CF4925">
      <w:pPr>
        <w:pStyle w:val="Heading1"/>
      </w:pPr>
      <w:bookmarkStart w:id="4" w:name="O_1014770"/>
      <w:bookmarkEnd w:id="4"/>
      <w:r w:rsidRPr="00CF4925">
        <w:t>Assessment Conditions</w:t>
      </w:r>
    </w:p>
    <w:p w:rsidR="00000000" w:rsidRPr="00CF4925" w:rsidP="002356B8">
      <w:pPr>
        <w:pStyle w:val="BodyText"/>
      </w:pPr>
      <w:r w:rsidRPr="00CF4925">
        <w:t>Skills must have been demonstrated in the workplace or in a simulated environment that reflects workplace conditions and contingencies. The foll</w:t>
      </w:r>
      <w:r w:rsidRPr="00CF4925">
        <w:t xml:space="preserve">owing conditions must be met for this unit: </w:t>
      </w:r>
    </w:p>
    <w:p w:rsidR="00000000" w:rsidRPr="00CF4925" w:rsidP="00CF4925">
      <w:pPr>
        <w:pStyle w:val="ListBullet"/>
      </w:pPr>
      <w:r w:rsidRPr="00CF4925">
        <w:t xml:space="preserve">use of suitable facilities, equipment and resources, including: </w:t>
      </w:r>
    </w:p>
    <w:p w:rsidR="00000000" w:rsidRPr="00CF4925" w:rsidP="00CF4925">
      <w:pPr>
        <w:pStyle w:val="ListBullet2"/>
      </w:pPr>
      <w:r w:rsidRPr="00CF4925">
        <w:t>a commercial site for glazing and reglazing</w:t>
      </w:r>
    </w:p>
    <w:p w:rsidR="00000000" w:rsidRPr="00CF4925" w:rsidP="00CF4925">
      <w:pPr>
        <w:pStyle w:val="ListBullet2"/>
      </w:pPr>
      <w:r w:rsidRPr="00CF4925">
        <w:t>equipment, tools and materials to complete tasks in the Performance Evidence</w:t>
      </w:r>
    </w:p>
    <w:p w:rsidR="00000000" w:rsidRPr="00CF4925" w:rsidP="00CF4925">
      <w:pPr>
        <w:pStyle w:val="ListBullet2"/>
      </w:pPr>
      <w:r w:rsidRPr="00CF4925">
        <w:t xml:space="preserve">work orders </w:t>
      </w:r>
    </w:p>
    <w:p w:rsidR="00000000" w:rsidRPr="00CF4925" w:rsidP="00CF4925">
      <w:pPr>
        <w:pStyle w:val="ListBullet2"/>
      </w:pPr>
      <w:r w:rsidRPr="00CF4925">
        <w:t>workplace procedures.</w:t>
      </w:r>
    </w:p>
    <w:p w:rsidR="002356B8" w:rsidP="002356B8">
      <w:pPr>
        <w:pStyle w:val="BodyText"/>
      </w:pPr>
      <w:r w:rsidRPr="00CF4925">
        <w:t>Assessors must satisfy the NVR/AQTF mandatory competency requirements for assessors.</w:t>
      </w:r>
    </w:p>
    <w:p w:rsidR="00000000" w:rsidRPr="00CF4925" w:rsidP="00CF4925">
      <w:pPr>
        <w:pStyle w:val="Heading1"/>
      </w:pPr>
      <w:bookmarkStart w:id="5" w:name="O_1014768"/>
      <w:bookmarkEnd w:id="5"/>
      <w:r w:rsidRPr="00CF4925">
        <w:t>Links</w:t>
      </w:r>
    </w:p>
    <w:p w:rsidR="00000000" w:rsidRPr="00CF4925" w:rsidP="002356B8">
      <w:pPr>
        <w:pStyle w:val="BodyText"/>
      </w:pPr>
      <w:r w:rsidRPr="00CF4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7571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F4925" w:rsidP="00CF4925"/>
    <w:sectPr w:rsidSect="00CF4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25" w:rsidRPr="002356B8" w:rsidP="00235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B8" w:rsidP="00CF4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56B8" w:rsidP="00CF4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56B8" w:rsidP="00CF4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925" w:rsidRPr="002356B8" w:rsidP="00235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B8" w:rsidRPr="002D2AF8" w:rsidP="00CF4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MSFGG3038 Conduct commercial and structural reglazing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356B8" w:rsidP="00CF4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AA3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6CA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580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925"/>
  </w:style>
  <w:style w:type="character" w:customStyle="1" w:styleId="Heading1Char">
    <w:name w:val="Heading 1 Char"/>
    <w:basedOn w:val="DefaultParagraphFont"/>
    <w:link w:val="Heading1"/>
    <w:rsid w:val="00CF4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9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9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49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4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925"/>
    <w:rPr>
      <w:b/>
      <w:spacing w:val="0"/>
    </w:rPr>
  </w:style>
  <w:style w:type="paragraph" w:customStyle="1" w:styleId="SuperTitle">
    <w:name w:val="SuperTitle"/>
    <w:basedOn w:val="Title"/>
    <w:rsid w:val="00CF4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925"/>
    <w:rPr>
      <w:i/>
    </w:rPr>
  </w:style>
  <w:style w:type="paragraph" w:styleId="Caption">
    <w:name w:val="caption"/>
    <w:basedOn w:val="BodyText"/>
    <w:next w:val="Normal"/>
    <w:qFormat/>
    <w:rsid w:val="00CF4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925"/>
  </w:style>
  <w:style w:type="paragraph" w:styleId="TableofFigures">
    <w:name w:val="table of figures"/>
    <w:basedOn w:val="Normal"/>
    <w:next w:val="Normal"/>
    <w:semiHidden/>
    <w:rsid w:val="00CF4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9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4925"/>
    <w:rPr>
      <w:rFonts w:ascii="Wingdings" w:hAnsi="Wingdings"/>
    </w:rPr>
  </w:style>
  <w:style w:type="paragraph" w:customStyle="1" w:styleId="TableHeading">
    <w:name w:val="Table Heading"/>
    <w:basedOn w:val="HeadingBase"/>
    <w:rsid w:val="00CF4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925"/>
    <w:rPr>
      <w:color w:val="0033CC"/>
      <w:u w:val="none"/>
    </w:rPr>
  </w:style>
  <w:style w:type="paragraph" w:customStyle="1" w:styleId="BodyTextRight">
    <w:name w:val="Body Text Right"/>
    <w:basedOn w:val="BodyText"/>
    <w:rsid w:val="00CF4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9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925"/>
    <w:rPr>
      <w:sz w:val="32"/>
    </w:rPr>
  </w:style>
  <w:style w:type="paragraph" w:customStyle="1" w:styleId="HeadingProcedure">
    <w:name w:val="Heading Procedure"/>
    <w:basedOn w:val="HeadingBase"/>
    <w:next w:val="Normal"/>
    <w:rsid w:val="00CF4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925"/>
    <w:pPr>
      <w:spacing w:before="60" w:after="60"/>
    </w:pPr>
  </w:style>
  <w:style w:type="paragraph" w:styleId="ListContinue">
    <w:name w:val="List Continue"/>
    <w:basedOn w:val="List"/>
    <w:rsid w:val="00CF4925"/>
    <w:pPr>
      <w:ind w:firstLine="0"/>
    </w:pPr>
  </w:style>
  <w:style w:type="paragraph" w:customStyle="1" w:styleId="ListNote">
    <w:name w:val="List Note"/>
    <w:basedOn w:val="List"/>
    <w:rsid w:val="00CF4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925"/>
    <w:rPr>
      <w:rFonts w:ascii="Courier New" w:hAnsi="Courier New"/>
    </w:rPr>
  </w:style>
  <w:style w:type="paragraph" w:customStyle="1" w:styleId="NoteBullet">
    <w:name w:val="Note Bullet"/>
    <w:basedOn w:val="Note"/>
    <w:rsid w:val="00CF4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9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4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925"/>
    <w:rPr>
      <w:b/>
      <w:smallCaps/>
    </w:rPr>
  </w:style>
  <w:style w:type="paragraph" w:customStyle="1" w:styleId="TableListNumber">
    <w:name w:val="Table List Number"/>
    <w:basedOn w:val="ListNumber"/>
    <w:rsid w:val="00CF4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925"/>
    <w:pPr>
      <w:numPr>
        <w:numId w:val="10"/>
      </w:numPr>
    </w:pPr>
  </w:style>
  <w:style w:type="paragraph" w:customStyle="1" w:styleId="ListAlpha2">
    <w:name w:val="List Alpha 2"/>
    <w:basedOn w:val="List2"/>
    <w:rsid w:val="00CF4925"/>
    <w:pPr>
      <w:numPr>
        <w:numId w:val="9"/>
      </w:numPr>
    </w:pPr>
  </w:style>
  <w:style w:type="paragraph" w:styleId="List2">
    <w:name w:val="List 2"/>
    <w:basedOn w:val="BodyText"/>
    <w:rsid w:val="00CF4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9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49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4925"/>
    <w:pPr>
      <w:numPr>
        <w:numId w:val="5"/>
      </w:numPr>
    </w:pPr>
  </w:style>
  <w:style w:type="paragraph" w:styleId="ListContinue2">
    <w:name w:val="List Continue 2"/>
    <w:basedOn w:val="List2"/>
    <w:rsid w:val="00CF4925"/>
    <w:pPr>
      <w:ind w:firstLine="0"/>
    </w:pPr>
  </w:style>
  <w:style w:type="paragraph" w:styleId="ListContinue3">
    <w:name w:val="List Continue 3"/>
    <w:basedOn w:val="List3"/>
    <w:rsid w:val="00CF4925"/>
    <w:pPr>
      <w:ind w:left="1021" w:firstLine="0"/>
    </w:pPr>
  </w:style>
  <w:style w:type="paragraph" w:styleId="ListContinue4">
    <w:name w:val="List Continue 4"/>
    <w:basedOn w:val="List4"/>
    <w:rsid w:val="00CF4925"/>
    <w:pPr>
      <w:ind w:firstLine="0"/>
    </w:pPr>
  </w:style>
  <w:style w:type="paragraph" w:styleId="ListContinue5">
    <w:name w:val="List Continue 5"/>
    <w:basedOn w:val="List5"/>
    <w:rsid w:val="00CF4925"/>
    <w:pPr>
      <w:ind w:firstLine="0"/>
    </w:pPr>
  </w:style>
  <w:style w:type="paragraph" w:styleId="ListNumber3">
    <w:name w:val="List Number 3"/>
    <w:basedOn w:val="List3"/>
    <w:rsid w:val="00CF4925"/>
    <w:pPr>
      <w:numPr>
        <w:numId w:val="6"/>
      </w:numPr>
    </w:pPr>
  </w:style>
  <w:style w:type="paragraph" w:styleId="ListNumber4">
    <w:name w:val="List Number 4"/>
    <w:basedOn w:val="List4"/>
    <w:rsid w:val="00CF4925"/>
    <w:pPr>
      <w:numPr>
        <w:numId w:val="7"/>
      </w:numPr>
    </w:pPr>
  </w:style>
  <w:style w:type="paragraph" w:styleId="ListNumber5">
    <w:name w:val="List Number 5"/>
    <w:basedOn w:val="List5"/>
    <w:rsid w:val="00CF4925"/>
    <w:pPr>
      <w:numPr>
        <w:numId w:val="8"/>
      </w:numPr>
    </w:pPr>
  </w:style>
  <w:style w:type="paragraph" w:styleId="BlockText">
    <w:name w:val="Block Text"/>
    <w:basedOn w:val="Normal"/>
    <w:rsid w:val="00CF4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925"/>
    <w:rPr>
      <w:sz w:val="16"/>
      <w:vertAlign w:val="superscript"/>
    </w:rPr>
  </w:style>
  <w:style w:type="character" w:customStyle="1" w:styleId="Symbols">
    <w:name w:val="Symbols"/>
    <w:basedOn w:val="DefaultParagraphFont"/>
    <w:rsid w:val="00CF4925"/>
    <w:rPr>
      <w:rFonts w:ascii="Symbol" w:hAnsi="Symbol"/>
    </w:rPr>
  </w:style>
  <w:style w:type="character" w:customStyle="1" w:styleId="MenuOptions">
    <w:name w:val="Menu Options"/>
    <w:basedOn w:val="DefaultParagraphFont"/>
    <w:rsid w:val="00CF4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925"/>
    <w:rPr>
      <w:b/>
    </w:rPr>
  </w:style>
  <w:style w:type="character" w:customStyle="1" w:styleId="Underlined">
    <w:name w:val="Underlined"/>
    <w:basedOn w:val="DefaultParagraphFont"/>
    <w:rsid w:val="00CF4925"/>
    <w:rPr>
      <w:u w:val="single"/>
    </w:rPr>
  </w:style>
  <w:style w:type="paragraph" w:customStyle="1" w:styleId="TableBodyTextRight">
    <w:name w:val="Table Body Text Right"/>
    <w:basedOn w:val="TableBodyText"/>
    <w:rsid w:val="00CF4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925"/>
    <w:rPr>
      <w:sz w:val="18"/>
    </w:rPr>
  </w:style>
  <w:style w:type="paragraph" w:customStyle="1" w:styleId="BodySmallRight">
    <w:name w:val="Body Small Right"/>
    <w:basedOn w:val="BodyTextRight"/>
    <w:rsid w:val="00CF4925"/>
    <w:rPr>
      <w:sz w:val="18"/>
      <w:szCs w:val="18"/>
    </w:rPr>
  </w:style>
  <w:style w:type="paragraph" w:customStyle="1" w:styleId="MarginEdition">
    <w:name w:val="Margin Edition"/>
    <w:basedOn w:val="MarginNote"/>
    <w:rsid w:val="00CF4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925"/>
    <w:rPr>
      <w:sz w:val="2"/>
      <w:szCs w:val="2"/>
    </w:rPr>
  </w:style>
  <w:style w:type="character" w:customStyle="1" w:styleId="Small">
    <w:name w:val="Small"/>
    <w:basedOn w:val="DefaultParagraphFont"/>
    <w:rsid w:val="00CF4925"/>
    <w:rPr>
      <w:sz w:val="16"/>
    </w:rPr>
  </w:style>
  <w:style w:type="paragraph" w:customStyle="1" w:styleId="WideTable">
    <w:name w:val="Wide Table"/>
    <w:basedOn w:val="Normal"/>
    <w:rsid w:val="00CF4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925"/>
  </w:style>
  <w:style w:type="paragraph" w:styleId="Quote">
    <w:name w:val="Quote"/>
    <w:basedOn w:val="Heading1"/>
    <w:link w:val="QuoteChar"/>
    <w:qFormat/>
    <w:rsid w:val="00CF4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925"/>
    <w:pPr>
      <w:pageBreakBefore/>
    </w:pPr>
  </w:style>
  <w:style w:type="paragraph" w:customStyle="1" w:styleId="Border">
    <w:name w:val="Border"/>
    <w:basedOn w:val="Normal"/>
    <w:qFormat/>
    <w:rsid w:val="00CF4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925"/>
    <w:rPr>
      <w:u w:val="single"/>
    </w:rPr>
  </w:style>
  <w:style w:type="character" w:customStyle="1" w:styleId="BoldandItalics">
    <w:name w:val="Bold and Italics"/>
    <w:qFormat/>
    <w:rsid w:val="00CF4925"/>
    <w:rPr>
      <w:b/>
      <w:i/>
      <w:u w:val="none"/>
    </w:rPr>
  </w:style>
  <w:style w:type="paragraph" w:styleId="BalloonText">
    <w:name w:val="Balloon Text"/>
    <w:basedOn w:val="Normal"/>
    <w:link w:val="BalloonTextChar"/>
    <w:rsid w:val="00CF4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925"/>
    <w:pPr>
      <w:spacing w:before="0" w:after="0"/>
    </w:pPr>
  </w:style>
  <w:style w:type="paragraph" w:customStyle="1" w:styleId="BodyTextBold">
    <w:name w:val="Body Text Bold"/>
    <w:basedOn w:val="BodyText"/>
    <w:qFormat/>
    <w:rsid w:val="00CF4925"/>
    <w:rPr>
      <w:b/>
    </w:rPr>
  </w:style>
  <w:style w:type="character" w:styleId="Hyperlink">
    <w:name w:val="Hyperlink"/>
    <w:basedOn w:val="DefaultParagraphFont"/>
    <w:uiPriority w:val="99"/>
    <w:unhideWhenUsed/>
    <w:rsid w:val="00235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2551</Characters>
  <Application>Microsoft Office Word</Application>
  <DocSecurity>0</DocSecurity>
  <Lines>75</Lines>
  <Paragraphs>65</Paragraphs>
  <ScaleCrop>false</ScaleCrop>
  <Company>Author-it Software Corporation Ltd.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MSFGG3038 Conduct commercial and structural reglazing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