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4D0" w:rsidP="00810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MSFGG3037 Install structural glazing products</w:t>
      </w:r>
      <w:r>
        <w:fldChar w:fldCharType="end"/>
      </w:r>
    </w:p>
    <w:p w:rsidR="008104D0" w:rsidP="008104D0">
      <w:pPr>
        <w:pStyle w:val="Version"/>
        <w:sectPr w:rsidSect="00863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285" w:rsidP="00863285">
      <w:pPr>
        <w:pStyle w:val="SuperHeading"/>
      </w:pPr>
      <w:r w:rsidRPr="00863285">
        <w:t>Assessment Requirements for MSFGG3037 Install structural glazing products</w:t>
      </w:r>
    </w:p>
    <w:p w:rsidR="00000000" w:rsidRPr="00863285" w:rsidP="00863285">
      <w:pPr>
        <w:pStyle w:val="Heading1"/>
      </w:pPr>
      <w:bookmarkStart w:id="1" w:name="O_1014752"/>
      <w:bookmarkEnd w:id="1"/>
      <w:r w:rsidRPr="00863285">
        <w:t>Modification History</w:t>
      </w:r>
    </w:p>
    <w:p w:rsidR="008104D0" w:rsidP="008104D0">
      <w:pPr>
        <w:pStyle w:val="BodyText"/>
      </w:pPr>
      <w:r w:rsidRPr="00863285">
        <w:t xml:space="preserve">Release 1. Supersedes and is not equivalent to MSFGG3018 Prepare and install architectural engineered glazing. </w:t>
      </w:r>
    </w:p>
    <w:p w:rsidR="00000000" w:rsidRPr="00863285" w:rsidP="00863285">
      <w:pPr>
        <w:pStyle w:val="Heading1"/>
      </w:pPr>
      <w:bookmarkStart w:id="2" w:name="O_1014755"/>
      <w:bookmarkEnd w:id="2"/>
      <w:r w:rsidRPr="00863285">
        <w:t>Performance Evidence</w:t>
      </w:r>
    </w:p>
    <w:p w:rsidR="00000000" w:rsidRPr="00863285" w:rsidP="008104D0">
      <w:pPr>
        <w:pStyle w:val="BodyText"/>
      </w:pPr>
      <w:r w:rsidRPr="00863285">
        <w:t>There must be evidence the candidate has completed the tasks outlined in the elements and performance criteria of this unit, and:</w:t>
      </w:r>
    </w:p>
    <w:p w:rsidR="00000000" w:rsidRPr="00863285" w:rsidP="00863285">
      <w:pPr>
        <w:pStyle w:val="ListBullet"/>
      </w:pPr>
      <w:r w:rsidRPr="00863285">
        <w:t>completed 3 of the following structural glazing installations in accordance with work, safety and Austra</w:t>
      </w:r>
      <w:r w:rsidRPr="00863285">
        <w:t>lian Standards requirements:</w:t>
      </w:r>
    </w:p>
    <w:p w:rsidR="00000000" w:rsidRPr="00863285" w:rsidP="00863285">
      <w:pPr>
        <w:pStyle w:val="ListBullet2"/>
      </w:pPr>
      <w:r w:rsidRPr="00863285">
        <w:t>balustrade</w:t>
      </w:r>
    </w:p>
    <w:p w:rsidR="00000000" w:rsidRPr="00863285" w:rsidP="00863285">
      <w:pPr>
        <w:pStyle w:val="ListBullet2"/>
      </w:pPr>
      <w:r w:rsidRPr="00863285">
        <w:t>curtain walls</w:t>
      </w:r>
    </w:p>
    <w:p w:rsidR="00000000" w:rsidRPr="00863285" w:rsidP="00863285">
      <w:pPr>
        <w:pStyle w:val="ListBullet2"/>
      </w:pPr>
      <w:r w:rsidRPr="00863285">
        <w:t>glass floor glazing</w:t>
      </w:r>
    </w:p>
    <w:p w:rsidR="00000000" w:rsidRPr="00863285" w:rsidP="00863285">
      <w:pPr>
        <w:pStyle w:val="ListBullet2"/>
      </w:pPr>
      <w:r w:rsidRPr="00863285">
        <w:t>overhead glazing</w:t>
      </w:r>
    </w:p>
    <w:p w:rsidR="00000000" w:rsidRPr="00863285" w:rsidP="00863285">
      <w:pPr>
        <w:pStyle w:val="ListBullet2"/>
      </w:pPr>
      <w:r w:rsidRPr="00863285">
        <w:t>suspended or spider assembly</w:t>
      </w:r>
    </w:p>
    <w:p w:rsidR="008104D0" w:rsidP="00863285">
      <w:pPr>
        <w:pStyle w:val="ListBullet2"/>
      </w:pPr>
      <w:r w:rsidRPr="00863285">
        <w:t>toughened assembly.</w:t>
      </w:r>
    </w:p>
    <w:p w:rsidR="008104D0" w:rsidP="00863285">
      <w:pPr>
        <w:pStyle w:val="ListBullet2"/>
      </w:pPr>
    </w:p>
    <w:p w:rsidR="00000000" w:rsidRPr="00863285" w:rsidP="00863285">
      <w:pPr>
        <w:pStyle w:val="Heading1"/>
      </w:pPr>
      <w:bookmarkStart w:id="3" w:name="O_1014754"/>
      <w:bookmarkEnd w:id="3"/>
      <w:r w:rsidRPr="00863285">
        <w:t>Knowledge Evidence</w:t>
      </w:r>
    </w:p>
    <w:p w:rsidR="00000000" w:rsidRPr="00863285" w:rsidP="008104D0">
      <w:pPr>
        <w:pStyle w:val="BodyText"/>
      </w:pPr>
      <w:r w:rsidRPr="00863285">
        <w:t>There must be evidence the candidate has knowledge of:</w:t>
      </w:r>
    </w:p>
    <w:p w:rsidR="00000000" w:rsidRPr="00863285" w:rsidP="00863285">
      <w:pPr>
        <w:pStyle w:val="ListBullet"/>
      </w:pPr>
      <w:r w:rsidRPr="00863285">
        <w:t>Australian Standards, their purpose and key provisions:</w:t>
      </w:r>
    </w:p>
    <w:p w:rsidR="00000000" w:rsidRPr="00863285" w:rsidP="00863285">
      <w:pPr>
        <w:pStyle w:val="ListBullet2"/>
      </w:pPr>
      <w:r w:rsidRPr="00863285">
        <w:t>AS/NZ1288</w:t>
      </w:r>
    </w:p>
    <w:p w:rsidR="00000000" w:rsidRPr="00863285" w:rsidP="00863285">
      <w:pPr>
        <w:pStyle w:val="ListBullet2"/>
      </w:pPr>
      <w:r w:rsidRPr="00863285">
        <w:t>AS/NZS 4667</w:t>
      </w:r>
    </w:p>
    <w:p w:rsidR="00000000" w:rsidRPr="00863285" w:rsidP="00863285">
      <w:pPr>
        <w:pStyle w:val="ListBullet2"/>
      </w:pPr>
      <w:r w:rsidRPr="00863285">
        <w:t>AS 1288</w:t>
      </w:r>
    </w:p>
    <w:p w:rsidR="00000000" w:rsidRPr="00863285" w:rsidP="00863285">
      <w:pPr>
        <w:pStyle w:val="ListBullet2"/>
      </w:pPr>
      <w:r w:rsidRPr="00863285">
        <w:t>AS4285</w:t>
      </w:r>
    </w:p>
    <w:p w:rsidR="00000000" w:rsidRPr="00863285" w:rsidP="00863285">
      <w:pPr>
        <w:pStyle w:val="ListBullet"/>
      </w:pPr>
      <w:r w:rsidRPr="00863285">
        <w:t>mathematical procedures for estimation and measurement</w:t>
      </w:r>
    </w:p>
    <w:p w:rsidR="00000000" w:rsidRPr="00863285" w:rsidP="00863285">
      <w:pPr>
        <w:pStyle w:val="ListBullet"/>
      </w:pPr>
      <w:r w:rsidRPr="00863285">
        <w:t>organisational customer communication standards and protocols</w:t>
      </w:r>
    </w:p>
    <w:p w:rsidR="00000000" w:rsidRPr="00863285" w:rsidP="00863285">
      <w:pPr>
        <w:pStyle w:val="ListBullet"/>
      </w:pPr>
      <w:r w:rsidRPr="00863285">
        <w:t>types, characteristics, uses and limitations</w:t>
      </w:r>
      <w:r w:rsidRPr="00863285">
        <w:t xml:space="preserve"> of structural glazing products, including:</w:t>
      </w:r>
    </w:p>
    <w:p w:rsidR="00000000" w:rsidRPr="00863285" w:rsidP="00863285">
      <w:pPr>
        <w:pStyle w:val="ListBullet2"/>
      </w:pPr>
      <w:r w:rsidRPr="00863285">
        <w:t>aluminium glazing systems, including planar assemblies</w:t>
      </w:r>
    </w:p>
    <w:p w:rsidR="00000000" w:rsidRPr="00863285" w:rsidP="00863285">
      <w:pPr>
        <w:pStyle w:val="ListBullet2"/>
      </w:pPr>
      <w:r w:rsidRPr="00863285">
        <w:t>balustrading</w:t>
      </w:r>
    </w:p>
    <w:p w:rsidR="00000000" w:rsidRPr="00863285" w:rsidP="00863285">
      <w:pPr>
        <w:pStyle w:val="ListBullet2"/>
      </w:pPr>
      <w:r w:rsidRPr="00863285">
        <w:t>curtain wall systems</w:t>
      </w:r>
    </w:p>
    <w:p w:rsidR="00000000" w:rsidRPr="00863285" w:rsidP="00863285">
      <w:pPr>
        <w:pStyle w:val="ListBullet2"/>
      </w:pPr>
      <w:r w:rsidRPr="00863285">
        <w:t>glass floor glazing</w:t>
      </w:r>
    </w:p>
    <w:p w:rsidR="00000000" w:rsidRPr="00863285" w:rsidP="00863285">
      <w:pPr>
        <w:pStyle w:val="ListBullet2"/>
      </w:pPr>
      <w:r w:rsidRPr="00863285">
        <w:t>panel wall systems (hung and stacked)</w:t>
      </w:r>
    </w:p>
    <w:p w:rsidR="00000000" w:rsidRPr="00863285" w:rsidP="00863285">
      <w:pPr>
        <w:pStyle w:val="ListBullet2"/>
      </w:pPr>
      <w:r w:rsidRPr="00863285">
        <w:t>overhead glazing</w:t>
      </w:r>
    </w:p>
    <w:p w:rsidR="00000000" w:rsidRPr="00863285" w:rsidP="00863285">
      <w:pPr>
        <w:pStyle w:val="ListBullet2"/>
      </w:pPr>
      <w:r w:rsidRPr="00863285">
        <w:t>spider assemblies</w:t>
      </w:r>
    </w:p>
    <w:p w:rsidR="00000000" w:rsidRPr="00863285" w:rsidP="00863285">
      <w:pPr>
        <w:pStyle w:val="ListBullet2"/>
      </w:pPr>
      <w:r w:rsidRPr="00863285">
        <w:t>toughened assemblies</w:t>
      </w:r>
    </w:p>
    <w:p w:rsidR="00000000" w:rsidRPr="00863285" w:rsidP="00863285">
      <w:pPr>
        <w:pStyle w:val="ListBullet"/>
      </w:pPr>
      <w:r w:rsidRPr="00863285">
        <w:t>structural glazing product installation:</w:t>
      </w:r>
    </w:p>
    <w:p w:rsidR="00000000" w:rsidRPr="00863285" w:rsidP="00863285">
      <w:pPr>
        <w:pStyle w:val="ListBullet2"/>
      </w:pPr>
      <w:r w:rsidRPr="00863285">
        <w:t xml:space="preserve">workplace safety system requirements </w:t>
      </w:r>
    </w:p>
    <w:p w:rsidR="00000000" w:rsidRPr="00863285" w:rsidP="00863285">
      <w:pPr>
        <w:pStyle w:val="ListBullet2"/>
      </w:pPr>
      <w:r w:rsidRPr="00863285">
        <w:t xml:space="preserve">work flow requirements </w:t>
      </w:r>
    </w:p>
    <w:p w:rsidR="00000000" w:rsidRPr="00863285" w:rsidP="00863285">
      <w:pPr>
        <w:pStyle w:val="ListBullet2"/>
      </w:pPr>
      <w:r w:rsidRPr="00863285">
        <w:t>qualities and characteristics of structural glass, acrylic and framing materials</w:t>
      </w:r>
    </w:p>
    <w:p w:rsidR="00000000" w:rsidRPr="00863285" w:rsidP="00863285">
      <w:pPr>
        <w:pStyle w:val="ListBullet2"/>
      </w:pPr>
      <w:r w:rsidRPr="00863285">
        <w:t>qualities, characteristics, uses and limitations of component hardware:</w:t>
      </w:r>
    </w:p>
    <w:p w:rsidR="00000000" w:rsidRPr="00863285" w:rsidP="00863285">
      <w:pPr>
        <w:pStyle w:val="ListBullet3"/>
      </w:pPr>
      <w:r w:rsidRPr="00863285">
        <w:t>concealed overhead closer</w:t>
      </w:r>
    </w:p>
    <w:p w:rsidR="00000000" w:rsidRPr="00863285" w:rsidP="00863285">
      <w:pPr>
        <w:pStyle w:val="ListBullet3"/>
      </w:pPr>
      <w:r w:rsidRPr="00863285">
        <w:t>guides</w:t>
      </w:r>
    </w:p>
    <w:p w:rsidR="00000000" w:rsidRPr="00863285" w:rsidP="00863285">
      <w:pPr>
        <w:pStyle w:val="ListBullet3"/>
      </w:pPr>
      <w:r w:rsidRPr="00863285">
        <w:t>hinges</w:t>
      </w:r>
    </w:p>
    <w:p w:rsidR="00000000" w:rsidRPr="00863285" w:rsidP="00863285">
      <w:pPr>
        <w:pStyle w:val="ListBullet3"/>
      </w:pPr>
      <w:r w:rsidRPr="00863285">
        <w:t>locks</w:t>
      </w:r>
    </w:p>
    <w:p w:rsidR="00000000" w:rsidRPr="00863285" w:rsidP="00863285">
      <w:pPr>
        <w:pStyle w:val="ListBullet3"/>
      </w:pPr>
      <w:r w:rsidRPr="00863285">
        <w:t>pivots</w:t>
      </w:r>
    </w:p>
    <w:p w:rsidR="00000000" w:rsidRPr="00863285" w:rsidP="00863285">
      <w:pPr>
        <w:pStyle w:val="ListBullet3"/>
      </w:pPr>
      <w:r w:rsidRPr="00863285">
        <w:t>weather seals</w:t>
      </w:r>
    </w:p>
    <w:p w:rsidR="00000000" w:rsidRPr="00863285" w:rsidP="00863285">
      <w:pPr>
        <w:pStyle w:val="ListBullet3"/>
      </w:pPr>
      <w:r w:rsidRPr="00863285">
        <w:t>wheels</w:t>
      </w:r>
    </w:p>
    <w:p w:rsidR="00000000" w:rsidRPr="00863285" w:rsidP="00863285">
      <w:pPr>
        <w:pStyle w:val="ListBullet3"/>
      </w:pPr>
      <w:r w:rsidRPr="00863285">
        <w:t>stays</w:t>
      </w:r>
    </w:p>
    <w:p w:rsidR="00000000" w:rsidRPr="00863285" w:rsidP="00863285">
      <w:pPr>
        <w:pStyle w:val="ListBullet2"/>
      </w:pPr>
      <w:r w:rsidRPr="00863285">
        <w:t>site characteristics that may impact installation and how to respond</w:t>
      </w:r>
    </w:p>
    <w:p w:rsidR="00000000" w:rsidRPr="00863285" w:rsidP="00863285">
      <w:pPr>
        <w:pStyle w:val="ListBullet2"/>
      </w:pPr>
      <w:r w:rsidRPr="00863285">
        <w:t>installation techniques, the types of problems that may occur and how to avoid and respond</w:t>
      </w:r>
    </w:p>
    <w:p w:rsidR="00000000" w:rsidRPr="00863285" w:rsidP="00863285">
      <w:pPr>
        <w:pStyle w:val="ListBullet2"/>
      </w:pPr>
      <w:r w:rsidRPr="00863285">
        <w:t>fabrication methods for different products and how this impacts installation</w:t>
      </w:r>
    </w:p>
    <w:p w:rsidR="00000000" w:rsidRPr="00863285" w:rsidP="00863285">
      <w:pPr>
        <w:pStyle w:val="ListBullet2"/>
      </w:pPr>
      <w:r w:rsidRPr="00863285">
        <w:t>basic fabrication techniques for on-site product adjustments</w:t>
      </w:r>
    </w:p>
    <w:p w:rsidR="00000000" w:rsidRPr="00863285" w:rsidP="00863285">
      <w:pPr>
        <w:pStyle w:val="ListBullet2"/>
      </w:pPr>
      <w:r w:rsidRPr="00863285">
        <w:t>quality assurance</w:t>
      </w:r>
    </w:p>
    <w:p w:rsidR="00000000" w:rsidRPr="00863285" w:rsidP="00863285">
      <w:pPr>
        <w:pStyle w:val="ListBullet"/>
      </w:pPr>
      <w:r w:rsidRPr="00863285">
        <w:t xml:space="preserve">types, characteristics, safe use, maintenance and limitations of installation tools and equipment </w:t>
      </w:r>
    </w:p>
    <w:p w:rsidR="00000000" w:rsidRPr="00863285" w:rsidP="00863285">
      <w:pPr>
        <w:pStyle w:val="ListBullet"/>
      </w:pPr>
      <w:r w:rsidRPr="00863285">
        <w:t>uses and limitations of adhesives and sealants in structural glazing installations</w:t>
      </w:r>
    </w:p>
    <w:p w:rsidR="00000000" w:rsidRPr="00863285" w:rsidP="00863285">
      <w:pPr>
        <w:pStyle w:val="ListBullet"/>
      </w:pPr>
      <w:r w:rsidRPr="00863285">
        <w:t>role of engineering consultancy in structural glazing and how this impacts the installation role</w:t>
      </w:r>
    </w:p>
    <w:p w:rsidR="008104D0" w:rsidP="00863285">
      <w:pPr>
        <w:pStyle w:val="ListBullet"/>
      </w:pPr>
      <w:r w:rsidRPr="00863285">
        <w:t>documentation requirements for installation work.</w:t>
      </w:r>
    </w:p>
    <w:p w:rsidR="008104D0" w:rsidP="00863285">
      <w:pPr>
        <w:pStyle w:val="ListBullet"/>
      </w:pPr>
    </w:p>
    <w:p w:rsidR="00000000" w:rsidRPr="00863285" w:rsidP="00863285">
      <w:pPr>
        <w:pStyle w:val="Heading1"/>
      </w:pPr>
      <w:bookmarkStart w:id="4" w:name="O_1014753"/>
      <w:bookmarkEnd w:id="4"/>
      <w:r w:rsidRPr="00863285">
        <w:t>Assess</w:t>
      </w:r>
      <w:r w:rsidRPr="00863285">
        <w:t>ment Conditions</w:t>
      </w:r>
    </w:p>
    <w:p w:rsidR="00000000" w:rsidRPr="00863285" w:rsidP="008104D0">
      <w:pPr>
        <w:pStyle w:val="BodyText"/>
      </w:pPr>
      <w:r w:rsidRPr="0086328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63285" w:rsidP="00863285">
      <w:pPr>
        <w:pStyle w:val="ListBullet"/>
      </w:pPr>
      <w:r w:rsidRPr="00863285">
        <w:t>use of suitable facilities, equipment and resource</w:t>
      </w:r>
      <w:r w:rsidRPr="00863285">
        <w:t xml:space="preserve">s, including: </w:t>
      </w:r>
    </w:p>
    <w:p w:rsidR="00000000" w:rsidRPr="00863285" w:rsidP="00863285">
      <w:pPr>
        <w:pStyle w:val="ListBullet2"/>
      </w:pPr>
      <w:r w:rsidRPr="00863285">
        <w:t>equipment, tools and materials to complete tasks in the Performance Evidence</w:t>
      </w:r>
    </w:p>
    <w:p w:rsidR="00000000" w:rsidRPr="00863285" w:rsidP="00863285">
      <w:pPr>
        <w:pStyle w:val="ListBullet2"/>
      </w:pPr>
      <w:r w:rsidRPr="00863285">
        <w:t xml:space="preserve">work orders </w:t>
      </w:r>
    </w:p>
    <w:p w:rsidR="00000000" w:rsidRPr="00863285" w:rsidP="00863285">
      <w:pPr>
        <w:pStyle w:val="ListBullet2"/>
      </w:pPr>
      <w:r w:rsidRPr="00863285">
        <w:t>workplace procedures.</w:t>
      </w:r>
    </w:p>
    <w:p w:rsidR="008104D0" w:rsidP="008104D0">
      <w:pPr>
        <w:pStyle w:val="BodyText"/>
      </w:pPr>
      <w:r w:rsidRPr="00863285">
        <w:t>Assessors must satisfy the NVR/AQTF mandatory competency requirements for assessors.</w:t>
      </w:r>
    </w:p>
    <w:p w:rsidR="00000000" w:rsidRPr="00863285" w:rsidP="00863285">
      <w:pPr>
        <w:pStyle w:val="Heading1"/>
      </w:pPr>
      <w:bookmarkStart w:id="5" w:name="O_1014751"/>
      <w:bookmarkEnd w:id="5"/>
      <w:r w:rsidRPr="00863285">
        <w:t>Links</w:t>
      </w:r>
    </w:p>
    <w:p w:rsidR="00000000" w:rsidRPr="00863285" w:rsidP="008104D0">
      <w:pPr>
        <w:pStyle w:val="BodyText"/>
      </w:pPr>
      <w:r w:rsidRPr="008632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07ED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63285" w:rsidP="00863285"/>
    <w:sectPr w:rsidSect="00863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85" w:rsidRPr="008104D0" w:rsidP="00810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D0" w:rsidP="00863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4D0" w:rsidP="00863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04D0" w:rsidP="00863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285" w:rsidRPr="008104D0" w:rsidP="00810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D0" w:rsidRPr="002D2AF8" w:rsidP="00863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MSFGG3037 Install structural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104D0" w:rsidP="00863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29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26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CE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285"/>
  </w:style>
  <w:style w:type="character" w:customStyle="1" w:styleId="Heading1Char">
    <w:name w:val="Heading 1 Char"/>
    <w:basedOn w:val="DefaultParagraphFont"/>
    <w:link w:val="Heading1"/>
    <w:rsid w:val="00863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2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2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32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3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285"/>
    <w:rPr>
      <w:b/>
      <w:spacing w:val="0"/>
    </w:rPr>
  </w:style>
  <w:style w:type="paragraph" w:customStyle="1" w:styleId="SuperTitle">
    <w:name w:val="SuperTitle"/>
    <w:basedOn w:val="Title"/>
    <w:rsid w:val="00863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285"/>
    <w:rPr>
      <w:i/>
    </w:rPr>
  </w:style>
  <w:style w:type="paragraph" w:styleId="Caption">
    <w:name w:val="caption"/>
    <w:basedOn w:val="BodyText"/>
    <w:next w:val="Normal"/>
    <w:qFormat/>
    <w:rsid w:val="00863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285"/>
  </w:style>
  <w:style w:type="paragraph" w:styleId="TableofFigures">
    <w:name w:val="table of figures"/>
    <w:basedOn w:val="Normal"/>
    <w:next w:val="Normal"/>
    <w:semiHidden/>
    <w:rsid w:val="00863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2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3285"/>
    <w:rPr>
      <w:rFonts w:ascii="Wingdings" w:hAnsi="Wingdings"/>
    </w:rPr>
  </w:style>
  <w:style w:type="paragraph" w:customStyle="1" w:styleId="TableHeading">
    <w:name w:val="Table Heading"/>
    <w:basedOn w:val="HeadingBase"/>
    <w:rsid w:val="00863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285"/>
    <w:rPr>
      <w:color w:val="0033CC"/>
      <w:u w:val="none"/>
    </w:rPr>
  </w:style>
  <w:style w:type="paragraph" w:customStyle="1" w:styleId="BodyTextRight">
    <w:name w:val="Body Text Right"/>
    <w:basedOn w:val="BodyText"/>
    <w:rsid w:val="00863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2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285"/>
    <w:rPr>
      <w:sz w:val="32"/>
    </w:rPr>
  </w:style>
  <w:style w:type="paragraph" w:customStyle="1" w:styleId="HeadingProcedure">
    <w:name w:val="Heading Procedure"/>
    <w:basedOn w:val="HeadingBase"/>
    <w:next w:val="Normal"/>
    <w:rsid w:val="00863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285"/>
    <w:pPr>
      <w:spacing w:before="60" w:after="60"/>
    </w:pPr>
  </w:style>
  <w:style w:type="paragraph" w:styleId="ListContinue">
    <w:name w:val="List Continue"/>
    <w:basedOn w:val="List"/>
    <w:rsid w:val="00863285"/>
    <w:pPr>
      <w:ind w:firstLine="0"/>
    </w:pPr>
  </w:style>
  <w:style w:type="paragraph" w:customStyle="1" w:styleId="ListNote">
    <w:name w:val="List Note"/>
    <w:basedOn w:val="List"/>
    <w:rsid w:val="00863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285"/>
    <w:rPr>
      <w:rFonts w:ascii="Courier New" w:hAnsi="Courier New"/>
    </w:rPr>
  </w:style>
  <w:style w:type="paragraph" w:customStyle="1" w:styleId="NoteBullet">
    <w:name w:val="Note Bullet"/>
    <w:basedOn w:val="Note"/>
    <w:rsid w:val="00863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2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3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285"/>
    <w:rPr>
      <w:b/>
      <w:smallCaps/>
    </w:rPr>
  </w:style>
  <w:style w:type="paragraph" w:customStyle="1" w:styleId="TableListNumber">
    <w:name w:val="Table List Number"/>
    <w:basedOn w:val="ListNumber"/>
    <w:rsid w:val="00863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285"/>
    <w:pPr>
      <w:numPr>
        <w:numId w:val="10"/>
      </w:numPr>
    </w:pPr>
  </w:style>
  <w:style w:type="paragraph" w:customStyle="1" w:styleId="ListAlpha2">
    <w:name w:val="List Alpha 2"/>
    <w:basedOn w:val="List2"/>
    <w:rsid w:val="00863285"/>
    <w:pPr>
      <w:numPr>
        <w:numId w:val="9"/>
      </w:numPr>
    </w:pPr>
  </w:style>
  <w:style w:type="paragraph" w:styleId="List2">
    <w:name w:val="List 2"/>
    <w:basedOn w:val="BodyText"/>
    <w:rsid w:val="00863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2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32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3285"/>
    <w:pPr>
      <w:numPr>
        <w:numId w:val="5"/>
      </w:numPr>
    </w:pPr>
  </w:style>
  <w:style w:type="paragraph" w:styleId="ListContinue2">
    <w:name w:val="List Continue 2"/>
    <w:basedOn w:val="List2"/>
    <w:rsid w:val="00863285"/>
    <w:pPr>
      <w:ind w:firstLine="0"/>
    </w:pPr>
  </w:style>
  <w:style w:type="paragraph" w:styleId="ListContinue3">
    <w:name w:val="List Continue 3"/>
    <w:basedOn w:val="List3"/>
    <w:rsid w:val="00863285"/>
    <w:pPr>
      <w:ind w:left="1021" w:firstLine="0"/>
    </w:pPr>
  </w:style>
  <w:style w:type="paragraph" w:styleId="ListContinue4">
    <w:name w:val="List Continue 4"/>
    <w:basedOn w:val="List4"/>
    <w:rsid w:val="00863285"/>
    <w:pPr>
      <w:ind w:firstLine="0"/>
    </w:pPr>
  </w:style>
  <w:style w:type="paragraph" w:styleId="ListContinue5">
    <w:name w:val="List Continue 5"/>
    <w:basedOn w:val="List5"/>
    <w:rsid w:val="00863285"/>
    <w:pPr>
      <w:ind w:firstLine="0"/>
    </w:pPr>
  </w:style>
  <w:style w:type="paragraph" w:styleId="ListNumber3">
    <w:name w:val="List Number 3"/>
    <w:basedOn w:val="List3"/>
    <w:rsid w:val="00863285"/>
    <w:pPr>
      <w:numPr>
        <w:numId w:val="6"/>
      </w:numPr>
    </w:pPr>
  </w:style>
  <w:style w:type="paragraph" w:styleId="ListNumber4">
    <w:name w:val="List Number 4"/>
    <w:basedOn w:val="List4"/>
    <w:rsid w:val="00863285"/>
    <w:pPr>
      <w:numPr>
        <w:numId w:val="7"/>
      </w:numPr>
    </w:pPr>
  </w:style>
  <w:style w:type="paragraph" w:styleId="ListNumber5">
    <w:name w:val="List Number 5"/>
    <w:basedOn w:val="List5"/>
    <w:rsid w:val="00863285"/>
    <w:pPr>
      <w:numPr>
        <w:numId w:val="8"/>
      </w:numPr>
    </w:pPr>
  </w:style>
  <w:style w:type="paragraph" w:styleId="BlockText">
    <w:name w:val="Block Text"/>
    <w:basedOn w:val="Normal"/>
    <w:rsid w:val="00863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285"/>
    <w:rPr>
      <w:sz w:val="16"/>
      <w:vertAlign w:val="superscript"/>
    </w:rPr>
  </w:style>
  <w:style w:type="character" w:customStyle="1" w:styleId="Symbols">
    <w:name w:val="Symbols"/>
    <w:basedOn w:val="DefaultParagraphFont"/>
    <w:rsid w:val="00863285"/>
    <w:rPr>
      <w:rFonts w:ascii="Symbol" w:hAnsi="Symbol"/>
    </w:rPr>
  </w:style>
  <w:style w:type="character" w:customStyle="1" w:styleId="MenuOptions">
    <w:name w:val="Menu Options"/>
    <w:basedOn w:val="DefaultParagraphFont"/>
    <w:rsid w:val="00863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285"/>
    <w:rPr>
      <w:b/>
    </w:rPr>
  </w:style>
  <w:style w:type="character" w:customStyle="1" w:styleId="Underlined">
    <w:name w:val="Underlined"/>
    <w:basedOn w:val="DefaultParagraphFont"/>
    <w:rsid w:val="00863285"/>
    <w:rPr>
      <w:u w:val="single"/>
    </w:rPr>
  </w:style>
  <w:style w:type="paragraph" w:customStyle="1" w:styleId="TableBodyTextRight">
    <w:name w:val="Table Body Text Right"/>
    <w:basedOn w:val="TableBodyText"/>
    <w:rsid w:val="00863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285"/>
    <w:rPr>
      <w:sz w:val="18"/>
    </w:rPr>
  </w:style>
  <w:style w:type="paragraph" w:customStyle="1" w:styleId="BodySmallRight">
    <w:name w:val="Body Small Right"/>
    <w:basedOn w:val="BodyTextRight"/>
    <w:rsid w:val="00863285"/>
    <w:rPr>
      <w:sz w:val="18"/>
      <w:szCs w:val="18"/>
    </w:rPr>
  </w:style>
  <w:style w:type="paragraph" w:customStyle="1" w:styleId="MarginEdition">
    <w:name w:val="Margin Edition"/>
    <w:basedOn w:val="MarginNote"/>
    <w:rsid w:val="00863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285"/>
    <w:rPr>
      <w:sz w:val="2"/>
      <w:szCs w:val="2"/>
    </w:rPr>
  </w:style>
  <w:style w:type="character" w:customStyle="1" w:styleId="Small">
    <w:name w:val="Small"/>
    <w:basedOn w:val="DefaultParagraphFont"/>
    <w:rsid w:val="00863285"/>
    <w:rPr>
      <w:sz w:val="16"/>
    </w:rPr>
  </w:style>
  <w:style w:type="paragraph" w:customStyle="1" w:styleId="WideTable">
    <w:name w:val="Wide Table"/>
    <w:basedOn w:val="Normal"/>
    <w:rsid w:val="00863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285"/>
  </w:style>
  <w:style w:type="paragraph" w:styleId="Quote">
    <w:name w:val="Quote"/>
    <w:basedOn w:val="Heading1"/>
    <w:link w:val="QuoteChar"/>
    <w:qFormat/>
    <w:rsid w:val="00863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285"/>
    <w:pPr>
      <w:pageBreakBefore/>
    </w:pPr>
  </w:style>
  <w:style w:type="paragraph" w:customStyle="1" w:styleId="Border">
    <w:name w:val="Border"/>
    <w:basedOn w:val="Normal"/>
    <w:qFormat/>
    <w:rsid w:val="00863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285"/>
    <w:rPr>
      <w:u w:val="single"/>
    </w:rPr>
  </w:style>
  <w:style w:type="character" w:customStyle="1" w:styleId="BoldandItalics">
    <w:name w:val="Bold and Italics"/>
    <w:qFormat/>
    <w:rsid w:val="00863285"/>
    <w:rPr>
      <w:b/>
      <w:i/>
      <w:u w:val="none"/>
    </w:rPr>
  </w:style>
  <w:style w:type="paragraph" w:styleId="BalloonText">
    <w:name w:val="Balloon Text"/>
    <w:basedOn w:val="Normal"/>
    <w:link w:val="BalloonTextChar"/>
    <w:rsid w:val="00863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285"/>
    <w:pPr>
      <w:spacing w:before="0" w:after="0"/>
    </w:pPr>
  </w:style>
  <w:style w:type="paragraph" w:customStyle="1" w:styleId="BodyTextBold">
    <w:name w:val="Body Text Bold"/>
    <w:basedOn w:val="BodyText"/>
    <w:qFormat/>
    <w:rsid w:val="00863285"/>
    <w:rPr>
      <w:b/>
    </w:rPr>
  </w:style>
  <w:style w:type="character" w:styleId="Hyperlink">
    <w:name w:val="Hyperlink"/>
    <w:basedOn w:val="DefaultParagraphFont"/>
    <w:uiPriority w:val="99"/>
    <w:unhideWhenUsed/>
    <w:rsid w:val="00810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2665</Characters>
  <Application>Microsoft Office Word</Application>
  <DocSecurity>0</DocSecurity>
  <Lines>83</Lines>
  <Paragraphs>74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MSFGG3037 Install structural glazing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