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D59" w:rsidP="00900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MSFGG3036 Install commercial glazing products</w:t>
      </w:r>
      <w:r>
        <w:fldChar w:fldCharType="end"/>
      </w:r>
    </w:p>
    <w:p w:rsidR="00900D59" w:rsidP="00900D59">
      <w:pPr>
        <w:pStyle w:val="Version"/>
        <w:sectPr w:rsidSect="00C74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0C9" w:rsidP="00C740C9">
      <w:pPr>
        <w:pStyle w:val="SuperHeading"/>
      </w:pPr>
      <w:r w:rsidRPr="00C740C9">
        <w:t>MSFGG3036 Install commercial glazing products</w:t>
      </w:r>
    </w:p>
    <w:p w:rsidR="00000000" w:rsidRPr="00C740C9" w:rsidP="00C740C9">
      <w:pPr>
        <w:pStyle w:val="Heading1"/>
      </w:pPr>
      <w:bookmarkStart w:id="1" w:name="O_1014739"/>
      <w:bookmarkEnd w:id="1"/>
      <w:r w:rsidRPr="00C740C9">
        <w:t>Modification History</w:t>
      </w:r>
    </w:p>
    <w:p w:rsidR="00000000" w:rsidRPr="00C740C9" w:rsidP="00900D59">
      <w:pPr>
        <w:pStyle w:val="BodyText"/>
      </w:pPr>
      <w:r w:rsidRPr="00C740C9">
        <w:t>Release 1. Supersedes and is not equivalent to MSFGG3017 Fabricate and install commercial glazing.</w:t>
      </w:r>
    </w:p>
    <w:p w:rsidR="00000000" w:rsidRPr="00C740C9" w:rsidP="00C740C9">
      <w:pPr>
        <w:pStyle w:val="Heading1"/>
      </w:pPr>
      <w:bookmarkStart w:id="2" w:name="O_1014745"/>
      <w:bookmarkEnd w:id="2"/>
      <w:r w:rsidRPr="00C740C9">
        <w:t>Application</w:t>
      </w:r>
    </w:p>
    <w:p w:rsidR="00000000" w:rsidRPr="00C740C9" w:rsidP="00900D59">
      <w:pPr>
        <w:pStyle w:val="BodyText"/>
      </w:pPr>
      <w:r w:rsidRPr="00C740C9">
        <w:t>This unit describes the skills and knowledge required to identify work requirements, prepare too</w:t>
      </w:r>
      <w:r w:rsidRPr="00C740C9">
        <w:t xml:space="preserve">ls and materials, and install flat and curved glazing products in commercial environments such as shopfronts, doors and windows. </w:t>
      </w:r>
    </w:p>
    <w:p w:rsidR="00000000" w:rsidRPr="00C740C9" w:rsidP="00900D59">
      <w:pPr>
        <w:pStyle w:val="BodyText"/>
      </w:pPr>
      <w:r w:rsidRPr="00C740C9">
        <w:t xml:space="preserve">This unit applies to individuals installing products. They may or may not also fabricate the products. </w:t>
      </w:r>
    </w:p>
    <w:p w:rsidR="00900D59" w:rsidP="00900D59">
      <w:pPr>
        <w:pStyle w:val="BodyText"/>
      </w:pPr>
      <w:r w:rsidRPr="00C740C9">
        <w:t>Licensing, legislative</w:t>
      </w:r>
      <w:r w:rsidRPr="00C740C9">
        <w:t xml:space="preserve"> or certification requirements may apply to this unit and relevant state/territory and local government agencies should be consulted to determine any necessary certification or licensing for undertaking glass and glazing work. Access to construction sites </w:t>
      </w:r>
      <w:r w:rsidRPr="00C740C9">
        <w:t>requires certification of general induction training specified by the National Code of Practice for Induction for Construction Work (ASCC 2007).</w:t>
      </w:r>
    </w:p>
    <w:p w:rsidR="00000000" w:rsidRPr="00C740C9" w:rsidP="00C740C9">
      <w:pPr>
        <w:pStyle w:val="Heading1"/>
      </w:pPr>
      <w:bookmarkStart w:id="3" w:name="O_1014744"/>
      <w:bookmarkEnd w:id="3"/>
      <w:r w:rsidRPr="00C740C9">
        <w:t>Pre-requisite Unit</w:t>
      </w:r>
    </w:p>
    <w:p w:rsidR="00000000" w:rsidRPr="00C740C9" w:rsidP="00900D59">
      <w:pPr>
        <w:pStyle w:val="BodyText"/>
      </w:pPr>
      <w:r w:rsidRPr="00C740C9">
        <w:t>N/A</w:t>
      </w:r>
    </w:p>
    <w:p w:rsidR="00000000" w:rsidRPr="00C740C9" w:rsidP="00C740C9">
      <w:pPr>
        <w:pStyle w:val="Heading1"/>
      </w:pPr>
      <w:bookmarkStart w:id="4" w:name="O_1014743"/>
      <w:bookmarkEnd w:id="4"/>
      <w:r w:rsidRPr="00C740C9">
        <w:t>Unit Sector</w:t>
      </w:r>
    </w:p>
    <w:p w:rsidR="00000000" w:rsidRPr="00C740C9" w:rsidP="00900D59">
      <w:pPr>
        <w:pStyle w:val="BodyText"/>
      </w:pPr>
      <w:r w:rsidRPr="00C740C9">
        <w:t>Glass and Glazing</w:t>
      </w:r>
    </w:p>
    <w:p w:rsidR="00000000" w:rsidRPr="00C740C9" w:rsidP="00C740C9">
      <w:pPr>
        <w:pStyle w:val="Heading1"/>
      </w:pPr>
      <w:bookmarkStart w:id="5" w:name="O_1014742"/>
      <w:bookmarkEnd w:id="5"/>
      <w:r w:rsidRPr="00C740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rPr>
                <w:rStyle w:val="SpecialBold"/>
              </w:rPr>
              <w:t>Performance Criteria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rPr>
                <w:rStyle w:val="Emphasis"/>
              </w:rPr>
              <w:t xml:space="preserve">Elements describe the </w:t>
            </w:r>
            <w:r w:rsidRPr="00C740C9">
              <w:t xml:space="preserve">essential </w:t>
            </w:r>
            <w:r w:rsidRPr="00C740C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t>1.1 Read work documentation and identify installation requirements</w:t>
            </w:r>
          </w:p>
          <w:p w:rsidR="00000000" w:rsidRPr="00C740C9" w:rsidP="00C740C9">
            <w:pPr>
              <w:pStyle w:val="BodyText"/>
            </w:pPr>
            <w:r w:rsidRPr="00C740C9">
              <w:t>1.2 Identify and follow work health and safety requirements</w:t>
            </w:r>
          </w:p>
          <w:p w:rsidR="00000000" w:rsidRPr="00C740C9" w:rsidP="00C740C9">
            <w:pPr>
              <w:pStyle w:val="BodyText"/>
            </w:pPr>
            <w:r w:rsidRPr="00C740C9">
              <w:t>1.3 Determine required installation methods and materials, and estimate quantities</w:t>
            </w:r>
          </w:p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1.5 Plan a logical work sequence suited to the</w:t>
            </w:r>
            <w:r w:rsidRPr="00C740C9">
              <w:t xml:space="preserve"> job and workplace procedures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2. Prepare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t>2.1 Select and check tools and equipment for suitability, serviceability and safety prior to use</w:t>
            </w:r>
          </w:p>
          <w:p w:rsidR="00000000" w:rsidRPr="00C740C9" w:rsidP="00C740C9">
            <w:pPr>
              <w:pStyle w:val="BodyText"/>
            </w:pPr>
            <w:r w:rsidRPr="00C740C9">
              <w:t>2.2 Select and confirm type and quantity of components and materials against specifications</w:t>
            </w:r>
          </w:p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2.3 Measure and prepare components and materials using required tools in accordance with specifications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t>3.1 Consult customer and obtain permission prior to site inspection</w:t>
            </w:r>
          </w:p>
          <w:p w:rsidR="00000000" w:rsidRPr="00C740C9" w:rsidP="00C740C9">
            <w:pPr>
              <w:pStyle w:val="BodyText"/>
            </w:pPr>
            <w:r w:rsidRPr="00C740C9">
              <w:t>3.2 Identify site safety hazards and ta</w:t>
            </w:r>
            <w:r w:rsidRPr="00C740C9">
              <w:t>ke corrective action to reduce injury to self and others</w:t>
            </w:r>
          </w:p>
          <w:p w:rsidR="00000000" w:rsidRPr="00C740C9" w:rsidP="00C740C9">
            <w:pPr>
              <w:pStyle w:val="BodyText"/>
            </w:pPr>
            <w:r w:rsidRPr="00C740C9">
              <w:t>3.3 Identify other on-site characteristics for their impact on the installation process</w:t>
            </w:r>
          </w:p>
          <w:p w:rsidR="00000000" w:rsidRPr="00C740C9" w:rsidP="00C740C9">
            <w:pPr>
              <w:pStyle w:val="BodyText"/>
            </w:pPr>
            <w:r w:rsidRPr="00C740C9">
              <w:t>3.4 Take accurate measurements and confirm against job specification</w:t>
            </w:r>
          </w:p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3.5 Apply covering material to protect exi</w:t>
            </w:r>
            <w:r w:rsidRPr="00C740C9">
              <w:t>sting fixtures and fittings in accordance with workplace procedures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4. Prepare frame/opening and materials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t xml:space="preserve">4.1 Remove glass in accordance with safety and work requirements </w:t>
            </w:r>
          </w:p>
          <w:p w:rsidR="00000000" w:rsidRPr="00C740C9" w:rsidP="00C740C9">
            <w:pPr>
              <w:pStyle w:val="BodyText"/>
            </w:pPr>
            <w:r w:rsidRPr="00C740C9">
              <w:t>4.2 Assess frame and/or opening to ensure suitability for re-glazing in accordance</w:t>
            </w:r>
            <w:r w:rsidRPr="00C740C9">
              <w:t xml:space="preserve"> with customer requirements and Australian Standards</w:t>
            </w:r>
          </w:p>
          <w:p w:rsidR="00000000" w:rsidRPr="00C740C9" w:rsidP="00C740C9">
            <w:pPr>
              <w:pStyle w:val="BodyText"/>
            </w:pPr>
            <w:r w:rsidRPr="00C740C9">
              <w:t>4.3 Report defective frames for repair or replacement in accordance with workplace procedures</w:t>
            </w:r>
          </w:p>
          <w:p w:rsidR="00000000" w:rsidRPr="00C740C9" w:rsidP="00C740C9">
            <w:pPr>
              <w:pStyle w:val="BodyText"/>
            </w:pPr>
            <w:r w:rsidRPr="00C740C9">
              <w:t>4.4 Prepare frame and/or opening to receive glass through check of size against specifications, removal of se</w:t>
            </w:r>
            <w:r w:rsidRPr="00C740C9">
              <w:t>alant remains and surface preparation</w:t>
            </w:r>
          </w:p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4.5 Prepare fixing and sealing materials by mixing or cutting to length in accordance with job requirements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5. Fit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t xml:space="preserve">5.1 Fix glass to the frame using the selected method and in accordance with recognised industry </w:t>
            </w:r>
            <w:r w:rsidRPr="00C740C9">
              <w:t>procedures and Australian Standards</w:t>
            </w:r>
          </w:p>
          <w:p w:rsidR="00000000" w:rsidRPr="00C740C9" w:rsidP="00C740C9">
            <w:pPr>
              <w:pStyle w:val="BodyText"/>
            </w:pPr>
            <w:r w:rsidRPr="00C740C9">
              <w:t>5.2 Use solvents and sealants in accordance with manufacturer recommendations and Australian Standards</w:t>
            </w:r>
          </w:p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5.3 Remove excess sealing material and clean glass and frame after fixing</w:t>
            </w:r>
          </w:p>
        </w:tc>
      </w:tr>
      <w:tr w:rsidTr="00900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C9">
            <w:pPr>
              <w:pStyle w:val="BodyText"/>
              <w:rPr>
                <w:lang w:val="en-NZ"/>
              </w:rPr>
            </w:pPr>
            <w:r w:rsidRPr="00C740C9">
              <w:t>6.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C9" w:rsidP="00C740C9">
            <w:pPr>
              <w:pStyle w:val="BodyText"/>
            </w:pPr>
            <w:r w:rsidRPr="00C740C9">
              <w:t>6.1 Check completed installation for compliance with customer requirements, specifications and Australian Standards</w:t>
            </w:r>
          </w:p>
          <w:p w:rsidR="00000000" w:rsidRPr="00C740C9" w:rsidP="00C740C9">
            <w:pPr>
              <w:pStyle w:val="BodyText"/>
            </w:pPr>
            <w:r w:rsidRPr="00C740C9">
              <w:t xml:space="preserve">6.2 Clean and store tools, equipment and materials in accordance with </w:t>
            </w:r>
            <w:r w:rsidRPr="00C740C9">
              <w:t>workplace procedures</w:t>
            </w:r>
          </w:p>
          <w:p w:rsidR="00000000" w:rsidRPr="00C740C9" w:rsidP="00C740C9">
            <w:pPr>
              <w:pStyle w:val="BodyText"/>
            </w:pPr>
            <w:r w:rsidRPr="00C740C9">
              <w:t>6.3 Clean work area, leave in a safe condition an</w:t>
            </w:r>
            <w:r w:rsidRPr="00C740C9">
              <w:t>d dispose of waste or recycle in accordance with workplace protocols</w:t>
            </w:r>
          </w:p>
          <w:p w:rsidR="00000000" w:rsidRPr="00C740C9" w:rsidP="00C740C9">
            <w:pPr>
              <w:pStyle w:val="BodyText"/>
            </w:pPr>
            <w:r w:rsidRPr="00C740C9">
              <w:t>6.4 Accurately complete required workplace documentation</w:t>
            </w:r>
          </w:p>
        </w:tc>
      </w:tr>
    </w:tbl>
    <w:p w:rsidR="00900D59" w:rsidP="00C740C9">
      <w:pPr>
        <w:pStyle w:val="BodyText"/>
      </w:pPr>
    </w:p>
    <w:p w:rsidR="00900D59" w:rsidP="00C740C9">
      <w:pPr>
        <w:pStyle w:val="BodyText"/>
      </w:pPr>
    </w:p>
    <w:p w:rsidR="00000000" w:rsidRPr="00C740C9" w:rsidP="00C740C9">
      <w:pPr>
        <w:pStyle w:val="Heading1"/>
      </w:pPr>
      <w:bookmarkStart w:id="6" w:name="O_1014741"/>
      <w:bookmarkEnd w:id="6"/>
      <w:r w:rsidRPr="00C740C9">
        <w:t>Foundation Skills</w:t>
      </w:r>
    </w:p>
    <w:p w:rsidR="00000000" w:rsidRPr="00C740C9" w:rsidP="00900D59">
      <w:pPr>
        <w:pStyle w:val="BodyText"/>
      </w:pPr>
      <w:r w:rsidRPr="00C740C9">
        <w:t>Foundation skills essential to performance are explicit in the performance criteria of thi</w:t>
      </w:r>
      <w:r w:rsidRPr="00C740C9">
        <w:t>s unit of competency.</w:t>
      </w:r>
    </w:p>
    <w:p w:rsidR="00000000" w:rsidRPr="00C740C9" w:rsidP="00C740C9">
      <w:pPr>
        <w:pStyle w:val="Heading1"/>
      </w:pPr>
      <w:bookmarkStart w:id="7" w:name="O_1014740"/>
      <w:bookmarkEnd w:id="7"/>
      <w:r w:rsidRPr="00C740C9">
        <w:t>Unit Mapping Information</w:t>
      </w:r>
    </w:p>
    <w:p w:rsidR="00000000" w:rsidRPr="00C740C9" w:rsidP="00900D59">
      <w:pPr>
        <w:pStyle w:val="BodyText"/>
      </w:pPr>
      <w:r w:rsidRPr="00C740C9">
        <w:t>No equivalent unit.</w:t>
      </w:r>
    </w:p>
    <w:p w:rsidR="00000000" w:rsidRPr="00C740C9" w:rsidP="00C740C9">
      <w:pPr>
        <w:pStyle w:val="Heading1"/>
      </w:pPr>
      <w:bookmarkStart w:id="8" w:name="O_1014733"/>
      <w:bookmarkEnd w:id="8"/>
      <w:r w:rsidRPr="00C740C9">
        <w:t>Links</w:t>
      </w:r>
    </w:p>
    <w:p w:rsidR="00000000" w:rsidRPr="00C740C9" w:rsidP="00900D59">
      <w:pPr>
        <w:pStyle w:val="BodyText"/>
      </w:pPr>
      <w:r w:rsidRPr="00C74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7A7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740C9" w:rsidP="00C740C9"/>
    <w:sectPr w:rsidSect="00C740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C9" w:rsidRPr="00900D59" w:rsidP="00900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59" w:rsidP="00C74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D59" w:rsidP="00C74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0D59" w:rsidP="00C74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0C9" w:rsidRPr="00900D59" w:rsidP="00900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59" w:rsidRPr="002D2AF8" w:rsidP="00C74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MSFGG3036 Install commercial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00D59" w:rsidP="00C74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0C9"/>
  </w:style>
  <w:style w:type="character" w:customStyle="1" w:styleId="Heading1Char">
    <w:name w:val="Heading 1 Char"/>
    <w:basedOn w:val="DefaultParagraphFont"/>
    <w:link w:val="Heading1"/>
    <w:rsid w:val="00C74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0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40C9"/>
    <w:rPr>
      <w:b/>
      <w:spacing w:val="0"/>
    </w:rPr>
  </w:style>
  <w:style w:type="character" w:styleId="Emphasis">
    <w:name w:val="Emphasis"/>
    <w:basedOn w:val="DefaultParagraphFont"/>
    <w:qFormat/>
    <w:rsid w:val="00C740C9"/>
    <w:rPr>
      <w:i/>
    </w:rPr>
  </w:style>
  <w:style w:type="paragraph" w:customStyle="1" w:styleId="SuperHeading">
    <w:name w:val="SuperHeading"/>
    <w:basedOn w:val="Normal"/>
    <w:rsid w:val="00C74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0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40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4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40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4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0C9"/>
  </w:style>
  <w:style w:type="paragraph" w:styleId="TableofFigures">
    <w:name w:val="table of figures"/>
    <w:basedOn w:val="Normal"/>
    <w:next w:val="Normal"/>
    <w:semiHidden/>
    <w:rsid w:val="00C74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0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40C9"/>
    <w:rPr>
      <w:rFonts w:ascii="Wingdings" w:hAnsi="Wingdings"/>
    </w:rPr>
  </w:style>
  <w:style w:type="paragraph" w:customStyle="1" w:styleId="TableHeading">
    <w:name w:val="Table Heading"/>
    <w:basedOn w:val="HeadingBase"/>
    <w:rsid w:val="00C74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0C9"/>
    <w:rPr>
      <w:color w:val="0033CC"/>
      <w:u w:val="none"/>
    </w:rPr>
  </w:style>
  <w:style w:type="paragraph" w:customStyle="1" w:styleId="BodyTextRight">
    <w:name w:val="Body Text Right"/>
    <w:basedOn w:val="BodyText"/>
    <w:rsid w:val="00C74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0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0C9"/>
    <w:rPr>
      <w:sz w:val="32"/>
    </w:rPr>
  </w:style>
  <w:style w:type="paragraph" w:customStyle="1" w:styleId="HeadingProcedure">
    <w:name w:val="Heading Procedure"/>
    <w:basedOn w:val="HeadingBase"/>
    <w:next w:val="Normal"/>
    <w:rsid w:val="00C74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0C9"/>
    <w:pPr>
      <w:spacing w:before="60" w:after="60"/>
    </w:pPr>
  </w:style>
  <w:style w:type="paragraph" w:styleId="ListContinue">
    <w:name w:val="List Continue"/>
    <w:basedOn w:val="List"/>
    <w:rsid w:val="00C740C9"/>
    <w:pPr>
      <w:ind w:firstLine="0"/>
    </w:pPr>
  </w:style>
  <w:style w:type="paragraph" w:customStyle="1" w:styleId="ListNote">
    <w:name w:val="List Note"/>
    <w:basedOn w:val="List"/>
    <w:rsid w:val="00C74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0C9"/>
    <w:rPr>
      <w:rFonts w:ascii="Courier New" w:hAnsi="Courier New"/>
    </w:rPr>
  </w:style>
  <w:style w:type="paragraph" w:customStyle="1" w:styleId="NoteBullet">
    <w:name w:val="Note Bullet"/>
    <w:basedOn w:val="Note"/>
    <w:rsid w:val="00C74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0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4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0C9"/>
    <w:rPr>
      <w:b/>
      <w:smallCaps/>
    </w:rPr>
  </w:style>
  <w:style w:type="paragraph" w:customStyle="1" w:styleId="TableListNumber">
    <w:name w:val="Table List Number"/>
    <w:basedOn w:val="ListNumber"/>
    <w:rsid w:val="00C74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0C9"/>
    <w:pPr>
      <w:numPr>
        <w:numId w:val="7"/>
      </w:numPr>
    </w:pPr>
  </w:style>
  <w:style w:type="paragraph" w:customStyle="1" w:styleId="ListAlpha2">
    <w:name w:val="List Alpha 2"/>
    <w:basedOn w:val="List2"/>
    <w:rsid w:val="00C740C9"/>
    <w:pPr>
      <w:numPr>
        <w:numId w:val="6"/>
      </w:numPr>
    </w:pPr>
  </w:style>
  <w:style w:type="paragraph" w:styleId="List2">
    <w:name w:val="List 2"/>
    <w:basedOn w:val="BodyText"/>
    <w:rsid w:val="00C74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0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0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40C9"/>
    <w:pPr>
      <w:numPr>
        <w:numId w:val="2"/>
      </w:numPr>
    </w:pPr>
  </w:style>
  <w:style w:type="paragraph" w:styleId="ListContinue2">
    <w:name w:val="List Continue 2"/>
    <w:basedOn w:val="List2"/>
    <w:rsid w:val="00C740C9"/>
    <w:pPr>
      <w:ind w:firstLine="0"/>
    </w:pPr>
  </w:style>
  <w:style w:type="paragraph" w:styleId="ListContinue3">
    <w:name w:val="List Continue 3"/>
    <w:basedOn w:val="List3"/>
    <w:rsid w:val="00C740C9"/>
    <w:pPr>
      <w:ind w:left="1021" w:firstLine="0"/>
    </w:pPr>
  </w:style>
  <w:style w:type="paragraph" w:styleId="ListContinue4">
    <w:name w:val="List Continue 4"/>
    <w:basedOn w:val="List4"/>
    <w:rsid w:val="00C740C9"/>
    <w:pPr>
      <w:ind w:firstLine="0"/>
    </w:pPr>
  </w:style>
  <w:style w:type="paragraph" w:styleId="ListContinue5">
    <w:name w:val="List Continue 5"/>
    <w:basedOn w:val="List5"/>
    <w:rsid w:val="00C740C9"/>
    <w:pPr>
      <w:ind w:firstLine="0"/>
    </w:pPr>
  </w:style>
  <w:style w:type="paragraph" w:styleId="ListNumber3">
    <w:name w:val="List Number 3"/>
    <w:basedOn w:val="List3"/>
    <w:rsid w:val="00C740C9"/>
    <w:pPr>
      <w:numPr>
        <w:numId w:val="3"/>
      </w:numPr>
    </w:pPr>
  </w:style>
  <w:style w:type="paragraph" w:styleId="ListNumber4">
    <w:name w:val="List Number 4"/>
    <w:basedOn w:val="List4"/>
    <w:rsid w:val="00C740C9"/>
    <w:pPr>
      <w:numPr>
        <w:numId w:val="4"/>
      </w:numPr>
    </w:pPr>
  </w:style>
  <w:style w:type="paragraph" w:styleId="ListNumber5">
    <w:name w:val="List Number 5"/>
    <w:basedOn w:val="List5"/>
    <w:rsid w:val="00C740C9"/>
    <w:pPr>
      <w:numPr>
        <w:numId w:val="5"/>
      </w:numPr>
    </w:pPr>
  </w:style>
  <w:style w:type="paragraph" w:styleId="BlockText">
    <w:name w:val="Block Text"/>
    <w:basedOn w:val="Normal"/>
    <w:rsid w:val="00C74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0C9"/>
    <w:rPr>
      <w:sz w:val="16"/>
      <w:vertAlign w:val="superscript"/>
    </w:rPr>
  </w:style>
  <w:style w:type="character" w:customStyle="1" w:styleId="Symbols">
    <w:name w:val="Symbols"/>
    <w:basedOn w:val="DefaultParagraphFont"/>
    <w:rsid w:val="00C740C9"/>
    <w:rPr>
      <w:rFonts w:ascii="Symbol" w:hAnsi="Symbol"/>
    </w:rPr>
  </w:style>
  <w:style w:type="character" w:customStyle="1" w:styleId="MenuOptions">
    <w:name w:val="Menu Options"/>
    <w:basedOn w:val="DefaultParagraphFont"/>
    <w:rsid w:val="00C74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0C9"/>
    <w:rPr>
      <w:b/>
    </w:rPr>
  </w:style>
  <w:style w:type="character" w:customStyle="1" w:styleId="Underlined">
    <w:name w:val="Underlined"/>
    <w:basedOn w:val="DefaultParagraphFont"/>
    <w:rsid w:val="00C740C9"/>
    <w:rPr>
      <w:u w:val="single"/>
    </w:rPr>
  </w:style>
  <w:style w:type="paragraph" w:customStyle="1" w:styleId="TableBodyTextRight">
    <w:name w:val="Table Body Text Right"/>
    <w:basedOn w:val="TableBodyText"/>
    <w:rsid w:val="00C74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0C9"/>
    <w:rPr>
      <w:sz w:val="18"/>
    </w:rPr>
  </w:style>
  <w:style w:type="paragraph" w:customStyle="1" w:styleId="BodySmallRight">
    <w:name w:val="Body Small Right"/>
    <w:basedOn w:val="BodyTextRight"/>
    <w:rsid w:val="00C740C9"/>
    <w:rPr>
      <w:sz w:val="18"/>
      <w:szCs w:val="18"/>
    </w:rPr>
  </w:style>
  <w:style w:type="paragraph" w:customStyle="1" w:styleId="MarginEdition">
    <w:name w:val="Margin Edition"/>
    <w:basedOn w:val="MarginNote"/>
    <w:rsid w:val="00C74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0C9"/>
    <w:rPr>
      <w:sz w:val="2"/>
      <w:szCs w:val="2"/>
    </w:rPr>
  </w:style>
  <w:style w:type="character" w:customStyle="1" w:styleId="Small">
    <w:name w:val="Small"/>
    <w:basedOn w:val="DefaultParagraphFont"/>
    <w:rsid w:val="00C740C9"/>
    <w:rPr>
      <w:sz w:val="16"/>
    </w:rPr>
  </w:style>
  <w:style w:type="paragraph" w:customStyle="1" w:styleId="WideTable">
    <w:name w:val="Wide Table"/>
    <w:basedOn w:val="Normal"/>
    <w:rsid w:val="00C74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0C9"/>
  </w:style>
  <w:style w:type="paragraph" w:styleId="Quote">
    <w:name w:val="Quote"/>
    <w:basedOn w:val="Heading1"/>
    <w:link w:val="QuoteChar"/>
    <w:qFormat/>
    <w:rsid w:val="00C74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0C9"/>
    <w:pPr>
      <w:pageBreakBefore/>
    </w:pPr>
  </w:style>
  <w:style w:type="paragraph" w:customStyle="1" w:styleId="Border">
    <w:name w:val="Border"/>
    <w:basedOn w:val="Normal"/>
    <w:qFormat/>
    <w:rsid w:val="00C74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0C9"/>
    <w:rPr>
      <w:u w:val="single"/>
    </w:rPr>
  </w:style>
  <w:style w:type="character" w:customStyle="1" w:styleId="BoldandItalics">
    <w:name w:val="Bold and Italics"/>
    <w:qFormat/>
    <w:rsid w:val="00C740C9"/>
    <w:rPr>
      <w:b/>
      <w:i/>
      <w:u w:val="none"/>
    </w:rPr>
  </w:style>
  <w:style w:type="paragraph" w:styleId="BalloonText">
    <w:name w:val="Balloon Text"/>
    <w:basedOn w:val="Normal"/>
    <w:link w:val="BalloonTextChar"/>
    <w:rsid w:val="00C74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0C9"/>
    <w:pPr>
      <w:spacing w:before="0" w:after="0"/>
    </w:pPr>
  </w:style>
  <w:style w:type="paragraph" w:customStyle="1" w:styleId="BodyTextBold">
    <w:name w:val="Body Text Bold"/>
    <w:basedOn w:val="BodyText"/>
    <w:qFormat/>
    <w:rsid w:val="00C740C9"/>
    <w:rPr>
      <w:b/>
    </w:rPr>
  </w:style>
  <w:style w:type="character" w:styleId="Hyperlink">
    <w:name w:val="Hyperlink"/>
    <w:basedOn w:val="DefaultParagraphFont"/>
    <w:uiPriority w:val="99"/>
    <w:unhideWhenUsed/>
    <w:rsid w:val="00900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3602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MSFGG3036 Install commercial glazing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