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956" w:rsidP="00117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MSFGG3036 Install commercial glazing products</w:t>
      </w:r>
      <w:r>
        <w:fldChar w:fldCharType="end"/>
      </w:r>
    </w:p>
    <w:p w:rsidR="00117956" w:rsidP="00117956">
      <w:pPr>
        <w:pStyle w:val="Version"/>
        <w:sectPr w:rsidSect="00F72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3ED" w:rsidP="00F723ED">
      <w:pPr>
        <w:pStyle w:val="SuperHeading"/>
      </w:pPr>
      <w:r w:rsidRPr="00F723ED">
        <w:t>Assessment Requirements for MSFGG3036 Install commercial glazing products</w:t>
      </w:r>
    </w:p>
    <w:p w:rsidR="00000000" w:rsidRPr="00F723ED" w:rsidP="00F723ED">
      <w:pPr>
        <w:pStyle w:val="Heading1"/>
      </w:pPr>
      <w:bookmarkStart w:id="1" w:name="O_1014735"/>
      <w:bookmarkEnd w:id="1"/>
      <w:r w:rsidRPr="00F723ED">
        <w:t>Modification History</w:t>
      </w:r>
    </w:p>
    <w:p w:rsidR="00117956" w:rsidP="00117956">
      <w:pPr>
        <w:pStyle w:val="BodyText"/>
      </w:pPr>
      <w:r w:rsidRPr="00F723ED">
        <w:t>Release 1. Supersedes and is not equivalent to MSFGG3017 Fabricate and install commercial glazing.</w:t>
      </w:r>
    </w:p>
    <w:p w:rsidR="00000000" w:rsidRPr="00F723ED" w:rsidP="00F723ED">
      <w:pPr>
        <w:pStyle w:val="Heading1"/>
      </w:pPr>
      <w:bookmarkStart w:id="2" w:name="O_1014738"/>
      <w:bookmarkEnd w:id="2"/>
      <w:r w:rsidRPr="00F723ED">
        <w:t>Performance Evidence</w:t>
      </w:r>
    </w:p>
    <w:p w:rsidR="00000000" w:rsidRPr="00F723ED" w:rsidP="00117956">
      <w:pPr>
        <w:pStyle w:val="BodyText"/>
      </w:pPr>
      <w:r w:rsidRPr="00F723ED">
        <w:t xml:space="preserve">There must be evidence the candidate has completed the tasks outlined in the elements and performance criteria of this unit, and: </w:t>
      </w:r>
    </w:p>
    <w:p w:rsidR="00000000" w:rsidRPr="00F723ED" w:rsidP="00F723ED">
      <w:pPr>
        <w:pStyle w:val="ListBullet"/>
      </w:pPr>
      <w:r w:rsidRPr="00F723ED">
        <w:t>completed 2 commercial project installations in accordance with work, safety and Australian Standards requirements, to inclu</w:t>
      </w:r>
      <w:r w:rsidRPr="00F723ED">
        <w:t xml:space="preserve">de at least 2 of the following: </w:t>
      </w:r>
    </w:p>
    <w:p w:rsidR="00000000" w:rsidRPr="00F723ED" w:rsidP="00F723ED">
      <w:pPr>
        <w:pStyle w:val="ListBullet2"/>
      </w:pPr>
      <w:r w:rsidRPr="00F723ED">
        <w:t>combined window and door project</w:t>
      </w:r>
    </w:p>
    <w:p w:rsidR="00000000" w:rsidRPr="00F723ED" w:rsidP="00F723ED">
      <w:pPr>
        <w:pStyle w:val="ListBullet2"/>
      </w:pPr>
      <w:r w:rsidRPr="00F723ED">
        <w:t>frameless commercial windows</w:t>
      </w:r>
    </w:p>
    <w:p w:rsidR="00000000" w:rsidRPr="00F723ED" w:rsidP="00F723ED">
      <w:pPr>
        <w:pStyle w:val="ListBullet2"/>
      </w:pPr>
      <w:r w:rsidRPr="00F723ED">
        <w:t>shopfront and door</w:t>
      </w:r>
    </w:p>
    <w:p w:rsidR="00000000" w:rsidRPr="00F723ED" w:rsidP="00F723ED">
      <w:pPr>
        <w:pStyle w:val="ListBullet2"/>
      </w:pPr>
      <w:r w:rsidRPr="00F723ED">
        <w:t>shopfront and door using sub-head and sub-sill.</w:t>
      </w:r>
    </w:p>
    <w:p w:rsidR="00000000" w:rsidRPr="00F723ED" w:rsidP="00F723ED">
      <w:pPr>
        <w:pStyle w:val="AllowPageBreak"/>
      </w:pPr>
    </w:p>
    <w:p w:rsidR="00000000" w:rsidRPr="00F723ED" w:rsidP="00F723ED">
      <w:pPr>
        <w:pStyle w:val="Heading1"/>
      </w:pPr>
      <w:bookmarkStart w:id="3" w:name="O_1014737"/>
      <w:bookmarkEnd w:id="3"/>
      <w:r w:rsidRPr="00F723ED">
        <w:t>Knowledge Evidence</w:t>
      </w:r>
    </w:p>
    <w:p w:rsidR="00000000" w:rsidRPr="00F723ED" w:rsidP="00117956">
      <w:pPr>
        <w:pStyle w:val="BodyText"/>
      </w:pPr>
      <w:r w:rsidRPr="00F723ED">
        <w:t>There must be evidence the candidate has knowledge of:</w:t>
      </w:r>
    </w:p>
    <w:p w:rsidR="00000000" w:rsidRPr="00F723ED" w:rsidP="00F723ED">
      <w:pPr>
        <w:pStyle w:val="ListBullet"/>
      </w:pPr>
      <w:r w:rsidRPr="00F723ED">
        <w:t>Australian Standards, their purpose and key provisions:</w:t>
      </w:r>
    </w:p>
    <w:p w:rsidR="00000000" w:rsidRPr="00F723ED" w:rsidP="00F723ED">
      <w:pPr>
        <w:pStyle w:val="ListBullet2"/>
      </w:pPr>
      <w:r w:rsidRPr="00F723ED">
        <w:t>AS/NZS 4667</w:t>
      </w:r>
    </w:p>
    <w:p w:rsidR="00000000" w:rsidRPr="00F723ED" w:rsidP="00F723ED">
      <w:pPr>
        <w:pStyle w:val="ListBullet2"/>
      </w:pPr>
      <w:r w:rsidRPr="00F723ED">
        <w:t>AS 1288</w:t>
      </w:r>
    </w:p>
    <w:p w:rsidR="00000000" w:rsidRPr="00F723ED" w:rsidP="00F723ED">
      <w:pPr>
        <w:pStyle w:val="ListBullet"/>
      </w:pPr>
      <w:r w:rsidRPr="00F723ED">
        <w:t>mathematical procedures for estimation and measurement</w:t>
      </w:r>
    </w:p>
    <w:p w:rsidR="00000000" w:rsidRPr="00F723ED" w:rsidP="00F723ED">
      <w:pPr>
        <w:pStyle w:val="ListBullet"/>
      </w:pPr>
      <w:r w:rsidRPr="00F723ED">
        <w:t>types, characteristics and uses of commercial glazing products</w:t>
      </w:r>
    </w:p>
    <w:p w:rsidR="00000000" w:rsidRPr="00F723ED" w:rsidP="00F723ED">
      <w:pPr>
        <w:pStyle w:val="ListBullet"/>
      </w:pPr>
      <w:r w:rsidRPr="00F723ED">
        <w:t>commercial glazing product installation:</w:t>
      </w:r>
    </w:p>
    <w:p w:rsidR="00000000" w:rsidRPr="00F723ED" w:rsidP="00F723ED">
      <w:pPr>
        <w:pStyle w:val="ListBullet2"/>
      </w:pPr>
      <w:r w:rsidRPr="00F723ED">
        <w:t xml:space="preserve">workplace safety </w:t>
      </w:r>
      <w:r w:rsidRPr="00F723ED">
        <w:t xml:space="preserve">system requirements </w:t>
      </w:r>
    </w:p>
    <w:p w:rsidR="00000000" w:rsidRPr="00F723ED" w:rsidP="00F723ED">
      <w:pPr>
        <w:pStyle w:val="ListBullet2"/>
      </w:pPr>
      <w:r w:rsidRPr="00F723ED">
        <w:t xml:space="preserve">work flow requirements </w:t>
      </w:r>
    </w:p>
    <w:p w:rsidR="00000000" w:rsidRPr="00F723ED" w:rsidP="00F723ED">
      <w:pPr>
        <w:pStyle w:val="ListBullet2"/>
      </w:pPr>
      <w:r w:rsidRPr="00F723ED">
        <w:t>qualities and characteristics of glass and framing materials, including curved glass</w:t>
      </w:r>
    </w:p>
    <w:p w:rsidR="00000000" w:rsidRPr="00F723ED" w:rsidP="00F723ED">
      <w:pPr>
        <w:pStyle w:val="ListBullet2"/>
      </w:pPr>
      <w:r w:rsidRPr="00F723ED">
        <w:t>qualities, characteristics, uses and limitations of component hardware:</w:t>
      </w:r>
    </w:p>
    <w:p w:rsidR="00000000" w:rsidRPr="00F723ED" w:rsidP="00F723ED">
      <w:pPr>
        <w:pStyle w:val="ListBullet3"/>
      </w:pPr>
      <w:r w:rsidRPr="00F723ED">
        <w:t>concealed overhead closer</w:t>
      </w:r>
    </w:p>
    <w:p w:rsidR="00000000" w:rsidRPr="00F723ED" w:rsidP="00F723ED">
      <w:pPr>
        <w:pStyle w:val="ListBullet3"/>
      </w:pPr>
      <w:r w:rsidRPr="00F723ED">
        <w:t>guides</w:t>
      </w:r>
    </w:p>
    <w:p w:rsidR="00000000" w:rsidRPr="00F723ED" w:rsidP="00F723ED">
      <w:pPr>
        <w:pStyle w:val="ListBullet3"/>
      </w:pPr>
      <w:r w:rsidRPr="00F723ED">
        <w:t>hinges</w:t>
      </w:r>
    </w:p>
    <w:p w:rsidR="00000000" w:rsidRPr="00F723ED" w:rsidP="00F723ED">
      <w:pPr>
        <w:pStyle w:val="ListBullet3"/>
      </w:pPr>
      <w:r w:rsidRPr="00F723ED">
        <w:t>locks</w:t>
      </w:r>
    </w:p>
    <w:p w:rsidR="00000000" w:rsidRPr="00F723ED" w:rsidP="00F723ED">
      <w:pPr>
        <w:pStyle w:val="ListBullet3"/>
      </w:pPr>
      <w:r w:rsidRPr="00F723ED">
        <w:t>pivots</w:t>
      </w:r>
    </w:p>
    <w:p w:rsidR="00000000" w:rsidRPr="00F723ED" w:rsidP="00F723ED">
      <w:pPr>
        <w:pStyle w:val="ListBullet3"/>
      </w:pPr>
      <w:r w:rsidRPr="00F723ED">
        <w:t>weather seals</w:t>
      </w:r>
    </w:p>
    <w:p w:rsidR="00000000" w:rsidRPr="00F723ED" w:rsidP="00F723ED">
      <w:pPr>
        <w:pStyle w:val="ListBullet3"/>
      </w:pPr>
      <w:r w:rsidRPr="00F723ED">
        <w:t>wheels</w:t>
      </w:r>
    </w:p>
    <w:p w:rsidR="00000000" w:rsidRPr="00F723ED" w:rsidP="00F723ED">
      <w:pPr>
        <w:pStyle w:val="ListBullet3"/>
      </w:pPr>
      <w:r w:rsidRPr="00F723ED">
        <w:t>stays</w:t>
      </w:r>
    </w:p>
    <w:p w:rsidR="00000000" w:rsidRPr="00F723ED" w:rsidP="00F723ED">
      <w:pPr>
        <w:pStyle w:val="ListBullet2"/>
      </w:pPr>
      <w:r w:rsidRPr="00F723ED">
        <w:t>site characteristics that may impact installation and how to respond</w:t>
      </w:r>
    </w:p>
    <w:p w:rsidR="00000000" w:rsidRPr="00F723ED" w:rsidP="00F723ED">
      <w:pPr>
        <w:pStyle w:val="ListBullet2"/>
      </w:pPr>
      <w:r w:rsidRPr="00F723ED">
        <w:t>installation techniques, the types of problems that may occur and how to avoid and respond</w:t>
      </w:r>
    </w:p>
    <w:p w:rsidR="00000000" w:rsidRPr="00F723ED" w:rsidP="00F723ED">
      <w:pPr>
        <w:pStyle w:val="ListBullet2"/>
      </w:pPr>
      <w:r w:rsidRPr="00F723ED">
        <w:t>fabrication methods for different products and how this impacts inst</w:t>
      </w:r>
      <w:r w:rsidRPr="00F723ED">
        <w:t>allation</w:t>
      </w:r>
    </w:p>
    <w:p w:rsidR="00000000" w:rsidRPr="00F723ED" w:rsidP="00F723ED">
      <w:pPr>
        <w:pStyle w:val="ListBullet2"/>
      </w:pPr>
      <w:r w:rsidRPr="00F723ED">
        <w:t>basic fabrication techniques for on-site product adjustments</w:t>
      </w:r>
    </w:p>
    <w:p w:rsidR="00000000" w:rsidRPr="00F723ED" w:rsidP="00F723ED">
      <w:pPr>
        <w:pStyle w:val="ListBullet2"/>
      </w:pPr>
      <w:r w:rsidRPr="00F723ED">
        <w:t>quality assurance</w:t>
      </w:r>
    </w:p>
    <w:p w:rsidR="00000000" w:rsidRPr="00F723ED" w:rsidP="00F723ED">
      <w:pPr>
        <w:pStyle w:val="ListBullet"/>
      </w:pPr>
      <w:r w:rsidRPr="00F723ED">
        <w:t xml:space="preserve">types, characteristics, safe use, maintenance and limitations of installation tools and equipment </w:t>
      </w:r>
    </w:p>
    <w:p w:rsidR="00000000" w:rsidRPr="00F723ED" w:rsidP="00F723ED">
      <w:pPr>
        <w:pStyle w:val="ListBullet"/>
      </w:pPr>
      <w:r w:rsidRPr="00F723ED">
        <w:t>uses and limitations of adhesives and sealants in glazing installations</w:t>
      </w:r>
    </w:p>
    <w:p w:rsidR="00000000" w:rsidRPr="00F723ED" w:rsidP="00F723ED">
      <w:pPr>
        <w:pStyle w:val="ListBullet"/>
      </w:pPr>
      <w:r w:rsidRPr="00F723ED">
        <w:t>documentation requirements for installation work.</w:t>
      </w:r>
    </w:p>
    <w:p w:rsidR="00000000" w:rsidRPr="00F723ED" w:rsidP="00F723ED">
      <w:pPr>
        <w:pStyle w:val="AllowPageBreak"/>
      </w:pPr>
    </w:p>
    <w:p w:rsidR="00000000" w:rsidRPr="00F723ED" w:rsidP="00F723ED">
      <w:pPr>
        <w:pStyle w:val="Heading1"/>
      </w:pPr>
      <w:bookmarkStart w:id="4" w:name="O_1014736"/>
      <w:bookmarkEnd w:id="4"/>
      <w:r w:rsidRPr="00F723ED">
        <w:t>Assessment Conditions</w:t>
      </w:r>
    </w:p>
    <w:p w:rsidR="00000000" w:rsidRPr="00F723ED" w:rsidP="00117956">
      <w:pPr>
        <w:pStyle w:val="BodyText"/>
      </w:pPr>
      <w:r w:rsidRPr="00F723ED">
        <w:t>Skills must have been demonstrated in the workplace or in a simulated environment that reflec</w:t>
      </w:r>
      <w:r w:rsidRPr="00F723ED">
        <w:t xml:space="preserve">ts workplace conditions and contingencies. The following conditions must be met for this unit: </w:t>
      </w:r>
    </w:p>
    <w:p w:rsidR="00000000" w:rsidRPr="00F723ED" w:rsidP="00F723ED">
      <w:pPr>
        <w:pStyle w:val="ListBullet"/>
      </w:pPr>
      <w:r w:rsidRPr="00F723ED">
        <w:t xml:space="preserve">use of suitable facilities, equipment and resources, including: </w:t>
      </w:r>
    </w:p>
    <w:p w:rsidR="00000000" w:rsidRPr="00F723ED" w:rsidP="00F723ED">
      <w:pPr>
        <w:pStyle w:val="ListBullet2"/>
      </w:pPr>
      <w:r w:rsidRPr="00F723ED">
        <w:t>equipment, tools and materials to complete tasks in the Performance Evidence</w:t>
      </w:r>
    </w:p>
    <w:p w:rsidR="00000000" w:rsidRPr="00F723ED" w:rsidP="00F723ED">
      <w:pPr>
        <w:pStyle w:val="ListBullet2"/>
      </w:pPr>
      <w:r w:rsidRPr="00F723ED">
        <w:t xml:space="preserve">work orders </w:t>
      </w:r>
    </w:p>
    <w:p w:rsidR="00000000" w:rsidRPr="00F723ED" w:rsidP="00F723ED">
      <w:pPr>
        <w:pStyle w:val="ListBullet2"/>
      </w:pPr>
      <w:r w:rsidRPr="00F723ED">
        <w:t>wor</w:t>
      </w:r>
      <w:r w:rsidRPr="00F723ED">
        <w:t>kplace procedures.</w:t>
      </w:r>
    </w:p>
    <w:p w:rsidR="00117956" w:rsidP="00117956">
      <w:pPr>
        <w:pStyle w:val="BodyText"/>
      </w:pPr>
      <w:r w:rsidRPr="00F723ED">
        <w:t>Assessors must satisfy the NVR/AQTF mandatory competency requirements for assessors.</w:t>
      </w:r>
    </w:p>
    <w:p w:rsidR="00000000" w:rsidRPr="00F723ED" w:rsidP="00F723ED">
      <w:pPr>
        <w:pStyle w:val="Heading1"/>
      </w:pPr>
      <w:bookmarkStart w:id="5" w:name="O_1014734"/>
      <w:bookmarkEnd w:id="5"/>
      <w:r w:rsidRPr="00F723ED">
        <w:t>Links</w:t>
      </w:r>
    </w:p>
    <w:p w:rsidR="00000000" w:rsidRPr="00F723ED" w:rsidP="00117956">
      <w:pPr>
        <w:pStyle w:val="BodyText"/>
      </w:pPr>
      <w:r w:rsidRPr="00F72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7F5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23ED" w:rsidP="00F723ED"/>
    <w:sectPr w:rsidSect="00F72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D" w:rsidRPr="00117956" w:rsidP="00117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6" w:rsidP="00F72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956" w:rsidP="00F72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7956" w:rsidP="00F72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3ED" w:rsidRPr="00117956" w:rsidP="00117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56" w:rsidRPr="002D2AF8" w:rsidP="00F72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MSFGG3036 Install commercial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17956" w:rsidP="00F72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84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8A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AE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3ED"/>
  </w:style>
  <w:style w:type="character" w:customStyle="1" w:styleId="Heading1Char">
    <w:name w:val="Heading 1 Char"/>
    <w:basedOn w:val="DefaultParagraphFont"/>
    <w:link w:val="Heading1"/>
    <w:rsid w:val="00F72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3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3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23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2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3ED"/>
    <w:rPr>
      <w:b/>
      <w:spacing w:val="0"/>
    </w:rPr>
  </w:style>
  <w:style w:type="paragraph" w:customStyle="1" w:styleId="SuperTitle">
    <w:name w:val="SuperTitle"/>
    <w:basedOn w:val="Title"/>
    <w:rsid w:val="00F72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3ED"/>
    <w:rPr>
      <w:i/>
    </w:rPr>
  </w:style>
  <w:style w:type="paragraph" w:styleId="Caption">
    <w:name w:val="caption"/>
    <w:basedOn w:val="BodyText"/>
    <w:next w:val="Normal"/>
    <w:qFormat/>
    <w:rsid w:val="00F72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3ED"/>
  </w:style>
  <w:style w:type="paragraph" w:styleId="TableofFigures">
    <w:name w:val="table of figures"/>
    <w:basedOn w:val="Normal"/>
    <w:next w:val="Normal"/>
    <w:semiHidden/>
    <w:rsid w:val="00F72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3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23ED"/>
    <w:rPr>
      <w:rFonts w:ascii="Wingdings" w:hAnsi="Wingdings"/>
    </w:rPr>
  </w:style>
  <w:style w:type="paragraph" w:customStyle="1" w:styleId="TableHeading">
    <w:name w:val="Table Heading"/>
    <w:basedOn w:val="HeadingBase"/>
    <w:rsid w:val="00F72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3ED"/>
    <w:rPr>
      <w:color w:val="0033CC"/>
      <w:u w:val="none"/>
    </w:rPr>
  </w:style>
  <w:style w:type="paragraph" w:customStyle="1" w:styleId="BodyTextRight">
    <w:name w:val="Body Text Right"/>
    <w:basedOn w:val="BodyText"/>
    <w:rsid w:val="00F72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3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3ED"/>
    <w:rPr>
      <w:sz w:val="32"/>
    </w:rPr>
  </w:style>
  <w:style w:type="paragraph" w:customStyle="1" w:styleId="HeadingProcedure">
    <w:name w:val="Heading Procedure"/>
    <w:basedOn w:val="HeadingBase"/>
    <w:next w:val="Normal"/>
    <w:rsid w:val="00F72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3ED"/>
    <w:pPr>
      <w:spacing w:before="60" w:after="60"/>
    </w:pPr>
  </w:style>
  <w:style w:type="paragraph" w:styleId="ListContinue">
    <w:name w:val="List Continue"/>
    <w:basedOn w:val="List"/>
    <w:rsid w:val="00F723ED"/>
    <w:pPr>
      <w:ind w:firstLine="0"/>
    </w:pPr>
  </w:style>
  <w:style w:type="paragraph" w:customStyle="1" w:styleId="ListNote">
    <w:name w:val="List Note"/>
    <w:basedOn w:val="List"/>
    <w:rsid w:val="00F72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3ED"/>
    <w:rPr>
      <w:rFonts w:ascii="Courier New" w:hAnsi="Courier New"/>
    </w:rPr>
  </w:style>
  <w:style w:type="paragraph" w:customStyle="1" w:styleId="NoteBullet">
    <w:name w:val="Note Bullet"/>
    <w:basedOn w:val="Note"/>
    <w:rsid w:val="00F72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3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2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3ED"/>
    <w:rPr>
      <w:b/>
      <w:smallCaps/>
    </w:rPr>
  </w:style>
  <w:style w:type="paragraph" w:customStyle="1" w:styleId="TableListNumber">
    <w:name w:val="Table List Number"/>
    <w:basedOn w:val="ListNumber"/>
    <w:rsid w:val="00F72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3ED"/>
    <w:pPr>
      <w:numPr>
        <w:numId w:val="10"/>
      </w:numPr>
    </w:pPr>
  </w:style>
  <w:style w:type="paragraph" w:customStyle="1" w:styleId="ListAlpha2">
    <w:name w:val="List Alpha 2"/>
    <w:basedOn w:val="List2"/>
    <w:rsid w:val="00F723ED"/>
    <w:pPr>
      <w:numPr>
        <w:numId w:val="9"/>
      </w:numPr>
    </w:pPr>
  </w:style>
  <w:style w:type="paragraph" w:styleId="List2">
    <w:name w:val="List 2"/>
    <w:basedOn w:val="BodyText"/>
    <w:rsid w:val="00F72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3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23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23ED"/>
    <w:pPr>
      <w:numPr>
        <w:numId w:val="5"/>
      </w:numPr>
    </w:pPr>
  </w:style>
  <w:style w:type="paragraph" w:styleId="ListContinue2">
    <w:name w:val="List Continue 2"/>
    <w:basedOn w:val="List2"/>
    <w:rsid w:val="00F723ED"/>
    <w:pPr>
      <w:ind w:firstLine="0"/>
    </w:pPr>
  </w:style>
  <w:style w:type="paragraph" w:styleId="ListContinue3">
    <w:name w:val="List Continue 3"/>
    <w:basedOn w:val="List3"/>
    <w:rsid w:val="00F723ED"/>
    <w:pPr>
      <w:ind w:left="1021" w:firstLine="0"/>
    </w:pPr>
  </w:style>
  <w:style w:type="paragraph" w:styleId="ListContinue4">
    <w:name w:val="List Continue 4"/>
    <w:basedOn w:val="List4"/>
    <w:rsid w:val="00F723ED"/>
    <w:pPr>
      <w:ind w:firstLine="0"/>
    </w:pPr>
  </w:style>
  <w:style w:type="paragraph" w:styleId="ListContinue5">
    <w:name w:val="List Continue 5"/>
    <w:basedOn w:val="List5"/>
    <w:rsid w:val="00F723ED"/>
    <w:pPr>
      <w:ind w:firstLine="0"/>
    </w:pPr>
  </w:style>
  <w:style w:type="paragraph" w:styleId="ListNumber3">
    <w:name w:val="List Number 3"/>
    <w:basedOn w:val="List3"/>
    <w:rsid w:val="00F723ED"/>
    <w:pPr>
      <w:numPr>
        <w:numId w:val="6"/>
      </w:numPr>
    </w:pPr>
  </w:style>
  <w:style w:type="paragraph" w:styleId="ListNumber4">
    <w:name w:val="List Number 4"/>
    <w:basedOn w:val="List4"/>
    <w:rsid w:val="00F723ED"/>
    <w:pPr>
      <w:numPr>
        <w:numId w:val="7"/>
      </w:numPr>
    </w:pPr>
  </w:style>
  <w:style w:type="paragraph" w:styleId="ListNumber5">
    <w:name w:val="List Number 5"/>
    <w:basedOn w:val="List5"/>
    <w:rsid w:val="00F723ED"/>
    <w:pPr>
      <w:numPr>
        <w:numId w:val="8"/>
      </w:numPr>
    </w:pPr>
  </w:style>
  <w:style w:type="paragraph" w:styleId="BlockText">
    <w:name w:val="Block Text"/>
    <w:basedOn w:val="Normal"/>
    <w:rsid w:val="00F72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3ED"/>
    <w:rPr>
      <w:sz w:val="16"/>
      <w:vertAlign w:val="superscript"/>
    </w:rPr>
  </w:style>
  <w:style w:type="character" w:customStyle="1" w:styleId="Symbols">
    <w:name w:val="Symbols"/>
    <w:basedOn w:val="DefaultParagraphFont"/>
    <w:rsid w:val="00F723ED"/>
    <w:rPr>
      <w:rFonts w:ascii="Symbol" w:hAnsi="Symbol"/>
    </w:rPr>
  </w:style>
  <w:style w:type="character" w:customStyle="1" w:styleId="MenuOptions">
    <w:name w:val="Menu Options"/>
    <w:basedOn w:val="DefaultParagraphFont"/>
    <w:rsid w:val="00F72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3ED"/>
    <w:rPr>
      <w:b/>
    </w:rPr>
  </w:style>
  <w:style w:type="character" w:customStyle="1" w:styleId="Underlined">
    <w:name w:val="Underlined"/>
    <w:basedOn w:val="DefaultParagraphFont"/>
    <w:rsid w:val="00F723ED"/>
    <w:rPr>
      <w:u w:val="single"/>
    </w:rPr>
  </w:style>
  <w:style w:type="paragraph" w:customStyle="1" w:styleId="TableBodyTextRight">
    <w:name w:val="Table Body Text Right"/>
    <w:basedOn w:val="TableBodyText"/>
    <w:rsid w:val="00F72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3ED"/>
    <w:rPr>
      <w:sz w:val="18"/>
    </w:rPr>
  </w:style>
  <w:style w:type="paragraph" w:customStyle="1" w:styleId="BodySmallRight">
    <w:name w:val="Body Small Right"/>
    <w:basedOn w:val="BodyTextRight"/>
    <w:rsid w:val="00F723ED"/>
    <w:rPr>
      <w:sz w:val="18"/>
      <w:szCs w:val="18"/>
    </w:rPr>
  </w:style>
  <w:style w:type="paragraph" w:customStyle="1" w:styleId="MarginEdition">
    <w:name w:val="Margin Edition"/>
    <w:basedOn w:val="MarginNote"/>
    <w:rsid w:val="00F72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3ED"/>
    <w:rPr>
      <w:sz w:val="2"/>
      <w:szCs w:val="2"/>
    </w:rPr>
  </w:style>
  <w:style w:type="character" w:customStyle="1" w:styleId="Small">
    <w:name w:val="Small"/>
    <w:basedOn w:val="DefaultParagraphFont"/>
    <w:rsid w:val="00F723ED"/>
    <w:rPr>
      <w:sz w:val="16"/>
    </w:rPr>
  </w:style>
  <w:style w:type="paragraph" w:customStyle="1" w:styleId="WideTable">
    <w:name w:val="Wide Table"/>
    <w:basedOn w:val="Normal"/>
    <w:rsid w:val="00F72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3ED"/>
  </w:style>
  <w:style w:type="paragraph" w:styleId="Quote">
    <w:name w:val="Quote"/>
    <w:basedOn w:val="Heading1"/>
    <w:link w:val="QuoteChar"/>
    <w:qFormat/>
    <w:rsid w:val="00F72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3ED"/>
    <w:pPr>
      <w:pageBreakBefore/>
    </w:pPr>
  </w:style>
  <w:style w:type="paragraph" w:customStyle="1" w:styleId="Border">
    <w:name w:val="Border"/>
    <w:basedOn w:val="Normal"/>
    <w:qFormat/>
    <w:rsid w:val="00F72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3ED"/>
    <w:rPr>
      <w:u w:val="single"/>
    </w:rPr>
  </w:style>
  <w:style w:type="character" w:customStyle="1" w:styleId="BoldandItalics">
    <w:name w:val="Bold and Italics"/>
    <w:qFormat/>
    <w:rsid w:val="00F723ED"/>
    <w:rPr>
      <w:b/>
      <w:i/>
      <w:u w:val="none"/>
    </w:rPr>
  </w:style>
  <w:style w:type="paragraph" w:styleId="BalloonText">
    <w:name w:val="Balloon Text"/>
    <w:basedOn w:val="Normal"/>
    <w:link w:val="BalloonTextChar"/>
    <w:rsid w:val="00F72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3ED"/>
    <w:pPr>
      <w:spacing w:before="0" w:after="0"/>
    </w:pPr>
  </w:style>
  <w:style w:type="paragraph" w:customStyle="1" w:styleId="BodyTextBold">
    <w:name w:val="Body Text Bold"/>
    <w:basedOn w:val="BodyText"/>
    <w:qFormat/>
    <w:rsid w:val="00F723ED"/>
    <w:rPr>
      <w:b/>
    </w:rPr>
  </w:style>
  <w:style w:type="character" w:styleId="Hyperlink">
    <w:name w:val="Hyperlink"/>
    <w:basedOn w:val="DefaultParagraphFont"/>
    <w:uiPriority w:val="99"/>
    <w:unhideWhenUsed/>
    <w:rsid w:val="00117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2323</Characters>
  <Application>Microsoft Office Word</Application>
  <DocSecurity>0</DocSecurity>
  <Lines>68</Lines>
  <Paragraphs>59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MSFGG3036 Install commercial glazing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