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899" w:rsidP="00F94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MSFGG3031 Cut thick glass</w:t>
      </w:r>
      <w:r>
        <w:fldChar w:fldCharType="end"/>
      </w:r>
    </w:p>
    <w:p w:rsidR="00F94899" w:rsidP="00F94899">
      <w:pPr>
        <w:pStyle w:val="Version"/>
        <w:sectPr w:rsidSect="009A7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43B" w:rsidP="009A743B">
      <w:pPr>
        <w:pStyle w:val="SuperHeading"/>
      </w:pPr>
      <w:r w:rsidRPr="009A743B">
        <w:t>MSFGG3031 Cut thick glass</w:t>
      </w:r>
    </w:p>
    <w:p w:rsidR="00000000" w:rsidRPr="009A743B" w:rsidP="009A743B">
      <w:pPr>
        <w:pStyle w:val="Heading1"/>
      </w:pPr>
      <w:bookmarkStart w:id="1" w:name="O_1015808"/>
      <w:bookmarkEnd w:id="1"/>
      <w:r w:rsidRPr="009A743B">
        <w:t>Modification History</w:t>
      </w:r>
    </w:p>
    <w:p w:rsidR="00000000" w:rsidRPr="009A743B" w:rsidP="00F94899">
      <w:pPr>
        <w:pStyle w:val="BodyText"/>
      </w:pPr>
      <w:r w:rsidRPr="009A743B">
        <w:t xml:space="preserve">Release 1. Supersedes and is not equivalent to MSFGG3004 Process thick glass. </w:t>
      </w:r>
    </w:p>
    <w:p w:rsidR="00000000" w:rsidRPr="009A743B" w:rsidP="009A743B">
      <w:pPr>
        <w:pStyle w:val="Heading1"/>
      </w:pPr>
      <w:bookmarkStart w:id="2" w:name="O_1015814"/>
      <w:bookmarkEnd w:id="2"/>
      <w:r w:rsidRPr="009A743B">
        <w:t>Application</w:t>
      </w:r>
    </w:p>
    <w:p w:rsidR="00000000" w:rsidRPr="009A743B" w:rsidP="00F94899">
      <w:pPr>
        <w:pStyle w:val="BodyText"/>
      </w:pPr>
      <w:r w:rsidRPr="009A743B">
        <w:t>This unit describes the skills and knowledge required create jobs and to program and operate automatic glass processing equip</w:t>
      </w:r>
      <w:r w:rsidRPr="009A743B">
        <w:t>ment for cutting, drilling, shaping and edging of glass.</w:t>
      </w:r>
    </w:p>
    <w:p w:rsidR="00000000" w:rsidRPr="009A743B" w:rsidP="00F94899">
      <w:pPr>
        <w:pStyle w:val="BodyText"/>
      </w:pPr>
      <w:r w:rsidRPr="009A743B">
        <w:t>This unit applies to glass processing workers.</w:t>
      </w:r>
    </w:p>
    <w:p w:rsidR="00F94899" w:rsidP="00F94899">
      <w:pPr>
        <w:pStyle w:val="BodyText"/>
      </w:pPr>
      <w:r w:rsidRPr="009A743B">
        <w:t>No licensing or certification requirements exist at the time of publication. Relevant legislation, industry standards and codes of practice within Austr</w:t>
      </w:r>
      <w:r w:rsidRPr="009A743B">
        <w:t>alia must be applied.</w:t>
      </w:r>
    </w:p>
    <w:p w:rsidR="00000000" w:rsidRPr="009A743B" w:rsidP="009A743B">
      <w:pPr>
        <w:pStyle w:val="Heading1"/>
      </w:pPr>
      <w:bookmarkStart w:id="3" w:name="O_1015813"/>
      <w:bookmarkEnd w:id="3"/>
      <w:r w:rsidRPr="009A743B">
        <w:t>Pre-requisite Unit</w:t>
      </w:r>
    </w:p>
    <w:p w:rsidR="00000000" w:rsidRPr="009A743B" w:rsidP="00F94899">
      <w:pPr>
        <w:pStyle w:val="BodyText"/>
      </w:pPr>
      <w:r w:rsidRPr="009A743B">
        <w:t>N/A</w:t>
      </w:r>
    </w:p>
    <w:p w:rsidR="00000000" w:rsidRPr="009A743B" w:rsidP="009A743B">
      <w:pPr>
        <w:pStyle w:val="Heading1"/>
      </w:pPr>
      <w:bookmarkStart w:id="4" w:name="O_1015812"/>
      <w:bookmarkEnd w:id="4"/>
      <w:r w:rsidRPr="009A743B">
        <w:t>Unit Sector</w:t>
      </w:r>
    </w:p>
    <w:p w:rsidR="00000000" w:rsidRPr="009A743B" w:rsidP="00F94899">
      <w:pPr>
        <w:pStyle w:val="BodyText"/>
      </w:pPr>
      <w:r w:rsidRPr="009A743B">
        <w:t>Glass and Glazing</w:t>
      </w:r>
    </w:p>
    <w:p w:rsidR="00000000" w:rsidRPr="009A743B" w:rsidP="009A743B">
      <w:pPr>
        <w:pStyle w:val="Heading1"/>
      </w:pPr>
      <w:bookmarkStart w:id="5" w:name="O_1015811"/>
      <w:bookmarkEnd w:id="5"/>
      <w:r w:rsidRPr="009A74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rPr>
                <w:rStyle w:val="SpecialBold"/>
              </w:rPr>
              <w:t>Performance Criteria</w:t>
            </w:r>
          </w:p>
        </w:tc>
      </w:tr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rPr>
                <w:rStyle w:val="Emphasis"/>
              </w:rPr>
              <w:t xml:space="preserve">Elements describe the </w:t>
            </w:r>
            <w:r w:rsidRPr="009A743B">
              <w:t xml:space="preserve">essential </w:t>
            </w:r>
            <w:r w:rsidRPr="009A743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t>1.1 Read work instructions and identify cutting requirements</w:t>
            </w:r>
          </w:p>
          <w:p w:rsidR="00000000" w:rsidRPr="009A743B" w:rsidP="009A743B">
            <w:pPr>
              <w:pStyle w:val="BodyText"/>
            </w:pPr>
            <w:r w:rsidRPr="009A743B">
              <w:t>1.2 Identify and follow work health and safety requirements, using a</w:t>
            </w:r>
            <w:r w:rsidRPr="009A743B">
              <w:t>ll required personal protective equipment</w:t>
            </w:r>
          </w:p>
          <w:p w:rsidR="00000000" w:rsidRPr="009A743B" w:rsidP="009A743B">
            <w:pPr>
              <w:pStyle w:val="BodyText"/>
            </w:pPr>
            <w:r w:rsidRPr="009A743B">
              <w:t xml:space="preserve">1.3 Select and check required tools, equipment and materials for serviceability and safety prior to use </w:t>
            </w:r>
          </w:p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>1.4 Plan sequence of work to ensure cutting is conducted in a logical order</w:t>
            </w:r>
          </w:p>
        </w:tc>
      </w:tr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>2. Prepare for cutting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t>2.1 Select glass cutting table and clear work surface of debris and dust</w:t>
            </w:r>
          </w:p>
          <w:p w:rsidR="00000000" w:rsidRPr="009A743B" w:rsidP="009A743B">
            <w:pPr>
              <w:pStyle w:val="BodyText"/>
            </w:pPr>
            <w:r w:rsidRPr="009A743B">
              <w:t>2.2 Clear work area of obstructions and potential hazards and locate cullet bins close to work area</w:t>
            </w:r>
          </w:p>
          <w:p w:rsidR="00000000" w:rsidRPr="009A743B" w:rsidP="009A743B">
            <w:pPr>
              <w:pStyle w:val="BodyText"/>
            </w:pPr>
            <w:r w:rsidRPr="009A743B">
              <w:t>2.3 Check glass for imperfections and damage prior to handling</w:t>
            </w:r>
          </w:p>
          <w:p w:rsidR="00000000" w:rsidRPr="009A743B" w:rsidP="009A743B">
            <w:pPr>
              <w:pStyle w:val="BodyText"/>
            </w:pPr>
            <w:r w:rsidRPr="009A743B">
              <w:t>2.4 Relocate glass t</w:t>
            </w:r>
            <w:r w:rsidRPr="009A743B">
              <w:t>o be cut to the work area using correct manual handling procedures</w:t>
            </w:r>
          </w:p>
          <w:p w:rsidR="00000000" w:rsidRPr="009A743B" w:rsidP="009A743B">
            <w:pPr>
              <w:pStyle w:val="BodyText"/>
            </w:pPr>
            <w:r w:rsidRPr="009A743B">
              <w:t>2.5 Accurately measure glass to minimise waste within specified tolerances in accordance with workplace standards</w:t>
            </w:r>
          </w:p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 xml:space="preserve">2.6 Set and test equipment settings and safety controls in accordance with </w:t>
            </w:r>
            <w:r w:rsidRPr="009A743B">
              <w:t>workplace standards</w:t>
            </w:r>
          </w:p>
        </w:tc>
      </w:tr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>3. Cut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t>3.1 Operate and monitor tools and in accordance with manufacturer instructions and workplace procedures to achieve required cuts within specified tolerances</w:t>
            </w:r>
          </w:p>
          <w:p w:rsidR="00000000" w:rsidRPr="009A743B" w:rsidP="009A743B">
            <w:pPr>
              <w:pStyle w:val="BodyText"/>
            </w:pPr>
            <w:r w:rsidRPr="009A743B">
              <w:t>3.2 Make routine equipment, tool lubrication and adjustments in a</w:t>
            </w:r>
            <w:r w:rsidRPr="009A743B">
              <w:t>ccordance with manufacturer instructions</w:t>
            </w:r>
          </w:p>
          <w:p w:rsidR="00000000" w:rsidRPr="009A743B" w:rsidP="009A743B">
            <w:pPr>
              <w:pStyle w:val="BodyText"/>
            </w:pPr>
            <w:r w:rsidRPr="009A743B">
              <w:t>3.3 Identify and report problems to appropriate persons, and follow any authorised changes in working procedures</w:t>
            </w:r>
          </w:p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>3.4 Inspect completed product for compliance with quality and work order requirements and repair, repr</w:t>
            </w:r>
            <w:r w:rsidRPr="009A743B">
              <w:t>ocess or discard in accordance with workplace procedures</w:t>
            </w:r>
          </w:p>
        </w:tc>
      </w:tr>
      <w:tr w:rsidTr="00F94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43B">
            <w:pPr>
              <w:pStyle w:val="BodyText"/>
              <w:rPr>
                <w:lang w:val="en-NZ"/>
              </w:rPr>
            </w:pPr>
            <w:r w:rsidRPr="009A743B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43B" w:rsidP="009A743B">
            <w:pPr>
              <w:pStyle w:val="BodyText"/>
            </w:pPr>
            <w:r w:rsidRPr="009A743B">
              <w:t>4.1 Label and store processed glass in accordance with workplace procedures ensuring there are no projections</w:t>
            </w:r>
          </w:p>
          <w:p w:rsidR="00000000" w:rsidRPr="009A743B" w:rsidP="009A743B">
            <w:pPr>
              <w:pStyle w:val="BodyText"/>
            </w:pPr>
            <w:r w:rsidRPr="009A743B">
              <w:t xml:space="preserve">4.2 Clean work area, safely dispose of rubbish and identify items for </w:t>
            </w:r>
            <w:r w:rsidRPr="009A743B">
              <w:t>recycling in accordance with workplace procedures</w:t>
            </w:r>
          </w:p>
          <w:p w:rsidR="00000000" w:rsidRPr="009A743B" w:rsidP="009A743B">
            <w:pPr>
              <w:pStyle w:val="BodyText"/>
            </w:pPr>
            <w:r w:rsidRPr="009A743B">
              <w:t>4.3 Remove and store tools, equipment and unused materials in accordance with workplace procedures</w:t>
            </w:r>
          </w:p>
          <w:p w:rsidR="00000000" w:rsidRPr="009A743B" w:rsidP="009A743B">
            <w:pPr>
              <w:pStyle w:val="BodyText"/>
            </w:pPr>
            <w:r w:rsidRPr="009A743B">
              <w:t>4.4 Accurately complete required workplace documentation</w:t>
            </w:r>
          </w:p>
        </w:tc>
      </w:tr>
    </w:tbl>
    <w:p w:rsidR="00F94899" w:rsidP="009A743B">
      <w:pPr>
        <w:pStyle w:val="BodyText"/>
      </w:pPr>
    </w:p>
    <w:p w:rsidR="00F94899" w:rsidP="009A743B">
      <w:pPr>
        <w:pStyle w:val="BodyText"/>
      </w:pPr>
    </w:p>
    <w:p w:rsidR="00000000" w:rsidRPr="009A743B" w:rsidP="009A743B">
      <w:pPr>
        <w:pStyle w:val="Heading1"/>
      </w:pPr>
      <w:bookmarkStart w:id="6" w:name="O_1015810"/>
      <w:bookmarkEnd w:id="6"/>
      <w:r w:rsidRPr="009A743B">
        <w:t>Foundation Skills</w:t>
      </w:r>
    </w:p>
    <w:p w:rsidR="00000000" w:rsidRPr="009A743B" w:rsidP="00F94899">
      <w:pPr>
        <w:pStyle w:val="BodyText"/>
      </w:pPr>
      <w:r w:rsidRPr="009A743B">
        <w:t>Founda</w:t>
      </w:r>
      <w:r w:rsidRPr="009A743B">
        <w:t>tion skills essential to performance are explicit in the performance criteria of this unit of competency.</w:t>
      </w:r>
    </w:p>
    <w:p w:rsidR="00000000" w:rsidRPr="009A743B" w:rsidP="009A743B">
      <w:pPr>
        <w:pStyle w:val="Heading1"/>
      </w:pPr>
      <w:bookmarkStart w:id="7" w:name="O_1015809"/>
      <w:bookmarkEnd w:id="7"/>
      <w:r w:rsidRPr="009A743B">
        <w:t>Unit Mapping Information</w:t>
      </w:r>
    </w:p>
    <w:p w:rsidR="00000000" w:rsidRPr="009A743B" w:rsidP="00F94899">
      <w:pPr>
        <w:pStyle w:val="BodyText"/>
      </w:pPr>
      <w:r w:rsidRPr="009A743B">
        <w:t>No equivalent unit.</w:t>
      </w:r>
    </w:p>
    <w:p w:rsidR="00000000" w:rsidRPr="009A743B" w:rsidP="009A743B">
      <w:pPr>
        <w:pStyle w:val="Heading1"/>
      </w:pPr>
      <w:bookmarkStart w:id="8" w:name="O_1015802"/>
      <w:bookmarkEnd w:id="8"/>
      <w:r w:rsidRPr="009A743B">
        <w:t>Links</w:t>
      </w:r>
    </w:p>
    <w:p w:rsidR="00000000" w:rsidRPr="009A743B" w:rsidP="00F94899">
      <w:pPr>
        <w:pStyle w:val="BodyText"/>
      </w:pPr>
      <w:r w:rsidRPr="009A74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C7A8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A743B" w:rsidP="00F94899">
      <w:pPr>
        <w:pStyle w:val="BodyText"/>
        <w:sectPr w:rsidSect="009A7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43B" w:rsidP="009A743B">
      <w:pPr>
        <w:pStyle w:val="SuperHeading"/>
      </w:pPr>
      <w:r w:rsidRPr="009A743B">
        <w:t>Assessment Requirements for MSFGG3031 Cut thick glass</w:t>
      </w:r>
    </w:p>
    <w:p w:rsidR="00000000" w:rsidRPr="009A743B" w:rsidP="009A743B">
      <w:pPr>
        <w:pStyle w:val="Heading1"/>
      </w:pPr>
      <w:bookmarkStart w:id="9" w:name="O_1015804"/>
      <w:bookmarkEnd w:id="9"/>
      <w:r w:rsidRPr="009A743B">
        <w:t>Modification History</w:t>
      </w:r>
    </w:p>
    <w:p w:rsidR="00F94899" w:rsidP="00F94899">
      <w:pPr>
        <w:pStyle w:val="BodyText"/>
      </w:pPr>
      <w:r w:rsidRPr="009A743B">
        <w:t>Release 1. Supersedes and is no</w:t>
      </w:r>
      <w:r w:rsidRPr="009A743B">
        <w:t xml:space="preserve">t equivalent to MSFGG3004 Process thick glass. </w:t>
      </w:r>
    </w:p>
    <w:p w:rsidR="00000000" w:rsidRPr="009A743B" w:rsidP="009A743B">
      <w:pPr>
        <w:pStyle w:val="Heading1"/>
      </w:pPr>
      <w:bookmarkStart w:id="10" w:name="O_1015807"/>
      <w:bookmarkEnd w:id="10"/>
      <w:r w:rsidRPr="009A743B">
        <w:t>Performance Evidence</w:t>
      </w:r>
    </w:p>
    <w:p w:rsidR="00000000" w:rsidRPr="009A743B" w:rsidP="00F94899">
      <w:pPr>
        <w:pStyle w:val="BodyText"/>
      </w:pPr>
      <w:r w:rsidRPr="009A743B">
        <w:t xml:space="preserve">There must be evidence the candidate has completed the tasks outlined in the elements and performance criteria of this unit, and: </w:t>
      </w:r>
    </w:p>
    <w:p w:rsidR="00000000" w:rsidRPr="009A743B" w:rsidP="009A743B">
      <w:pPr>
        <w:pStyle w:val="ListBullet"/>
      </w:pPr>
      <w:r w:rsidRPr="009A743B">
        <w:t>undertaken the following in accorda</w:t>
      </w:r>
      <w:r w:rsidRPr="009A743B">
        <w:t>nce with all safety and AS/NZS 4667 requirements:</w:t>
      </w:r>
    </w:p>
    <w:p w:rsidR="00000000" w:rsidRPr="009A743B" w:rsidP="009A743B">
      <w:pPr>
        <w:pStyle w:val="ListBullet2"/>
      </w:pPr>
      <w:r w:rsidRPr="009A743B">
        <w:t>cut at least 3 different thicknesses of annealed glass (between 8mm and 25mm thick)</w:t>
      </w:r>
    </w:p>
    <w:p w:rsidR="00000000" w:rsidRPr="009A743B" w:rsidP="009A743B">
      <w:pPr>
        <w:pStyle w:val="ListBullet2"/>
      </w:pPr>
      <w:r w:rsidRPr="009A743B">
        <w:t>cut at least 2 different thicknesses of laminated glass (between 8.38mm and 25mm thick)</w:t>
      </w:r>
    </w:p>
    <w:p w:rsidR="00000000" w:rsidRPr="009A743B" w:rsidP="009A743B">
      <w:pPr>
        <w:pStyle w:val="ListBullet2"/>
      </w:pPr>
      <w:r w:rsidRPr="009A743B">
        <w:t>completed all of the following on both annealed and laminated glass:</w:t>
      </w:r>
    </w:p>
    <w:p w:rsidR="00000000" w:rsidRPr="009A743B" w:rsidP="009A743B">
      <w:pPr>
        <w:pStyle w:val="ListBullet3"/>
      </w:pPr>
      <w:r w:rsidRPr="009A743B">
        <w:t>straight cuts by hand and diamond saws</w:t>
      </w:r>
    </w:p>
    <w:p w:rsidR="00000000" w:rsidRPr="009A743B" w:rsidP="009A743B">
      <w:pPr>
        <w:pStyle w:val="ListBullet3"/>
      </w:pPr>
      <w:r w:rsidRPr="009A743B">
        <w:t>simple shapes</w:t>
      </w:r>
    </w:p>
    <w:p w:rsidR="00000000" w:rsidRPr="009A743B" w:rsidP="009A743B">
      <w:pPr>
        <w:pStyle w:val="ListBullet3"/>
      </w:pPr>
      <w:r w:rsidRPr="009A743B">
        <w:t>truncated and radius corners</w:t>
      </w:r>
    </w:p>
    <w:p w:rsidR="00F94899" w:rsidP="009A743B">
      <w:pPr>
        <w:pStyle w:val="ListBullet3"/>
      </w:pPr>
      <w:r w:rsidRPr="009A743B">
        <w:t xml:space="preserve">circles and ovals.  </w:t>
      </w:r>
    </w:p>
    <w:p w:rsidR="00F94899" w:rsidP="009A743B">
      <w:pPr>
        <w:pStyle w:val="ListBullet3"/>
      </w:pPr>
    </w:p>
    <w:p w:rsidR="00000000" w:rsidRPr="009A743B" w:rsidP="009A743B">
      <w:pPr>
        <w:pStyle w:val="Heading1"/>
      </w:pPr>
      <w:bookmarkStart w:id="11" w:name="O_1015806"/>
      <w:bookmarkEnd w:id="11"/>
      <w:r w:rsidRPr="009A743B">
        <w:t>Knowledge Evidence</w:t>
      </w:r>
    </w:p>
    <w:p w:rsidR="00000000" w:rsidRPr="009A743B" w:rsidP="00F94899">
      <w:pPr>
        <w:pStyle w:val="BodyText"/>
      </w:pPr>
      <w:r w:rsidRPr="009A743B">
        <w:t>There must be evidence the candidate has knowledge of:</w:t>
      </w:r>
    </w:p>
    <w:p w:rsidR="00000000" w:rsidRPr="009A743B" w:rsidP="009A743B">
      <w:pPr>
        <w:pStyle w:val="ListBullet"/>
      </w:pPr>
      <w:r w:rsidRPr="009A743B">
        <w:t xml:space="preserve">purpose and key provisions of Australian Standard AS/NZS 4667 </w:t>
      </w:r>
    </w:p>
    <w:p w:rsidR="00000000" w:rsidRPr="009A743B" w:rsidP="009A743B">
      <w:pPr>
        <w:pStyle w:val="ListBullet"/>
      </w:pPr>
      <w:r w:rsidRPr="009A743B">
        <w:t xml:space="preserve">mathematical procedures for optimisation </w:t>
      </w:r>
    </w:p>
    <w:p w:rsidR="00000000" w:rsidRPr="009A743B" w:rsidP="009A743B">
      <w:pPr>
        <w:pStyle w:val="ListBullet"/>
      </w:pPr>
      <w:r w:rsidRPr="009A743B">
        <w:t>types of information commonly found in work instructions and how to interpret</w:t>
      </w:r>
    </w:p>
    <w:p w:rsidR="00000000" w:rsidRPr="009A743B" w:rsidP="009A743B">
      <w:pPr>
        <w:pStyle w:val="ListBullet"/>
      </w:pPr>
      <w:r w:rsidRPr="009A743B">
        <w:t>thick glass:</w:t>
      </w:r>
    </w:p>
    <w:p w:rsidR="00000000" w:rsidRPr="009A743B" w:rsidP="009A743B">
      <w:pPr>
        <w:pStyle w:val="ListBullet2"/>
      </w:pPr>
      <w:r w:rsidRPr="009A743B">
        <w:t>qua</w:t>
      </w:r>
      <w:r w:rsidRPr="009A743B">
        <w:t>lities and characteristics, including hazards and handling requirements</w:t>
      </w:r>
    </w:p>
    <w:p w:rsidR="00000000" w:rsidRPr="009A743B" w:rsidP="009A743B">
      <w:pPr>
        <w:pStyle w:val="ListBullet2"/>
      </w:pPr>
      <w:r w:rsidRPr="009A743B">
        <w:t xml:space="preserve">workplace safety system requirements </w:t>
      </w:r>
    </w:p>
    <w:p w:rsidR="00000000" w:rsidRPr="009A743B" w:rsidP="009A743B">
      <w:pPr>
        <w:pStyle w:val="ListBullet2"/>
      </w:pPr>
      <w:r w:rsidRPr="009A743B">
        <w:t xml:space="preserve">work flow requirements </w:t>
      </w:r>
    </w:p>
    <w:p w:rsidR="00000000" w:rsidRPr="009A743B" w:rsidP="009A743B">
      <w:pPr>
        <w:pStyle w:val="ListBullet2"/>
      </w:pPr>
      <w:r w:rsidRPr="009A743B">
        <w:t>cutting techniques, the types of problems that may occur and how to avoid and respond</w:t>
      </w:r>
    </w:p>
    <w:p w:rsidR="00000000" w:rsidRPr="009A743B" w:rsidP="009A743B">
      <w:pPr>
        <w:pStyle w:val="ListBullet2"/>
      </w:pPr>
      <w:r w:rsidRPr="009A743B">
        <w:t>laminate requirements as glass thickness increases</w:t>
      </w:r>
    </w:p>
    <w:p w:rsidR="00000000" w:rsidRPr="009A743B" w:rsidP="009A743B">
      <w:pPr>
        <w:pStyle w:val="ListBullet2"/>
      </w:pPr>
      <w:r w:rsidRPr="009A743B">
        <w:t>quality assurance</w:t>
      </w:r>
    </w:p>
    <w:p w:rsidR="00000000" w:rsidRPr="009A743B" w:rsidP="009A743B">
      <w:pPr>
        <w:pStyle w:val="ListBullet2"/>
      </w:pPr>
      <w:r w:rsidRPr="009A743B">
        <w:t xml:space="preserve">workplace documentation requirements </w:t>
      </w:r>
    </w:p>
    <w:p w:rsidR="00000000" w:rsidRPr="009A743B" w:rsidP="009A743B">
      <w:pPr>
        <w:pStyle w:val="ListBullet"/>
      </w:pPr>
      <w:r w:rsidRPr="009A743B">
        <w:t xml:space="preserve">types, characteristics, safe use, maintenance and limitations of glass cutting tools and equipment: </w:t>
      </w:r>
    </w:p>
    <w:p w:rsidR="00000000" w:rsidRPr="009A743B" w:rsidP="009A743B">
      <w:pPr>
        <w:pStyle w:val="ListBullet2"/>
      </w:pPr>
      <w:r w:rsidRPr="009A743B">
        <w:t>circle</w:t>
      </w:r>
    </w:p>
    <w:p w:rsidR="00000000" w:rsidRPr="009A743B" w:rsidP="009A743B">
      <w:pPr>
        <w:pStyle w:val="ListBullet2"/>
      </w:pPr>
      <w:r w:rsidRPr="009A743B">
        <w:t>speed</w:t>
      </w:r>
    </w:p>
    <w:p w:rsidR="00F94899" w:rsidP="009A743B">
      <w:pPr>
        <w:pStyle w:val="ListBullet2"/>
      </w:pPr>
      <w:r w:rsidRPr="009A743B">
        <w:t>tungsten wheel.</w:t>
      </w:r>
    </w:p>
    <w:p w:rsidR="00F94899" w:rsidP="009A743B">
      <w:pPr>
        <w:pStyle w:val="ListBullet2"/>
      </w:pPr>
    </w:p>
    <w:p w:rsidR="00000000" w:rsidRPr="009A743B" w:rsidP="009A743B">
      <w:pPr>
        <w:pStyle w:val="Heading1"/>
      </w:pPr>
      <w:bookmarkStart w:id="12" w:name="O_1015805"/>
      <w:bookmarkEnd w:id="12"/>
      <w:r w:rsidRPr="009A743B">
        <w:t>Assessment Conditions</w:t>
      </w:r>
    </w:p>
    <w:p w:rsidR="00000000" w:rsidRPr="009A743B" w:rsidP="00F94899">
      <w:pPr>
        <w:pStyle w:val="BodyText"/>
      </w:pPr>
      <w:r w:rsidRPr="009A743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A743B" w:rsidP="009A743B">
      <w:pPr>
        <w:pStyle w:val="ListBullet"/>
      </w:pPr>
      <w:r w:rsidRPr="009A743B">
        <w:t>use of suitable facilities, equipme</w:t>
      </w:r>
      <w:r w:rsidRPr="009A743B">
        <w:t xml:space="preserve">nt and resources, including: </w:t>
      </w:r>
    </w:p>
    <w:p w:rsidR="00000000" w:rsidRPr="009A743B" w:rsidP="009A743B">
      <w:pPr>
        <w:pStyle w:val="ListBullet2"/>
      </w:pPr>
      <w:r w:rsidRPr="009A743B">
        <w:t>glass sheet and/or product greater than 8mm to be cut</w:t>
      </w:r>
    </w:p>
    <w:p w:rsidR="00000000" w:rsidRPr="009A743B" w:rsidP="009A743B">
      <w:pPr>
        <w:pStyle w:val="ListBullet2"/>
      </w:pPr>
      <w:r w:rsidRPr="009A743B">
        <w:t>equipment, tools and materials to complete tasks specified in the Performance Evidence</w:t>
      </w:r>
    </w:p>
    <w:p w:rsidR="00000000" w:rsidRPr="009A743B" w:rsidP="009A743B">
      <w:pPr>
        <w:pStyle w:val="ListBullet2"/>
      </w:pPr>
      <w:r w:rsidRPr="009A743B">
        <w:t>safety and personal protective equipment</w:t>
      </w:r>
    </w:p>
    <w:p w:rsidR="00000000" w:rsidRPr="009A743B" w:rsidP="009A743B">
      <w:pPr>
        <w:pStyle w:val="ListBullet2"/>
      </w:pPr>
      <w:r w:rsidRPr="009A743B">
        <w:t xml:space="preserve">work orders </w:t>
      </w:r>
    </w:p>
    <w:p w:rsidR="00000000" w:rsidRPr="009A743B" w:rsidP="009A743B">
      <w:pPr>
        <w:pStyle w:val="ListBullet2"/>
      </w:pPr>
      <w:r w:rsidRPr="009A743B">
        <w:t>workplace procedures.</w:t>
      </w:r>
    </w:p>
    <w:p w:rsidR="00F94899" w:rsidP="00F94899">
      <w:pPr>
        <w:pStyle w:val="BodyText"/>
      </w:pPr>
      <w:r w:rsidRPr="009A743B">
        <w:t>Assessor</w:t>
      </w:r>
      <w:r w:rsidRPr="009A743B">
        <w:t>s must satisfy the NVR/AQTF mandatory competency requirements for assessors.</w:t>
      </w:r>
    </w:p>
    <w:p w:rsidR="00000000" w:rsidRPr="009A743B" w:rsidP="009A743B">
      <w:pPr>
        <w:pStyle w:val="Heading1"/>
      </w:pPr>
      <w:bookmarkStart w:id="13" w:name="O_1015803"/>
      <w:bookmarkEnd w:id="13"/>
      <w:r w:rsidRPr="009A743B">
        <w:t>Links</w:t>
      </w:r>
    </w:p>
    <w:p w:rsidR="00000000" w:rsidRPr="009A743B" w:rsidP="00F94899">
      <w:pPr>
        <w:pStyle w:val="BodyText"/>
      </w:pPr>
      <w:r w:rsidRPr="009A74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C7A8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A743B" w:rsidP="009A743B"/>
    <w:sectPr w:rsidSect="009A7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 w:rsidRPr="00F94899" w:rsidP="00F94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99" w:rsidP="009A7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899" w:rsidP="009A7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4899" w:rsidP="009A7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 w:rsidP="009A7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899">
      <w:t>Approved</w:t>
    </w:r>
    <w:r w:rsidR="00F948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8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899">
      <w:rPr>
        <w:noProof/>
      </w:rPr>
      <w:t>4</w:t>
    </w:r>
    <w:r>
      <w:rPr>
        <w:noProof/>
      </w:rPr>
      <w:fldChar w:fldCharType="end"/>
    </w:r>
  </w:p>
  <w:p w:rsidR="009A743B" w:rsidP="009A7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8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899">
      <w:t>Skills Insight</w:t>
    </w:r>
    <w:r w:rsidR="00F94899">
      <w:fldChar w:fldCharType="end"/>
    </w:r>
  </w:p>
  <w:p w:rsidR="009A743B" w:rsidP="009A7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43B" w:rsidRPr="00F94899" w:rsidP="00F94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99" w:rsidRPr="002D2AF8" w:rsidP="009A7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MSFGG3031 Cut thick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4899" w:rsidP="009A7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3B" w:rsidRPr="002D2AF8" w:rsidP="009A7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899">
      <w:t>MSFGG3031 Cut thick glass</w:t>
    </w:r>
    <w:r w:rsidR="00F948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899">
      <w:rPr>
        <w:noProof/>
      </w:rPr>
      <w:t>2 March 2025</w:t>
    </w:r>
    <w:r>
      <w:fldChar w:fldCharType="end"/>
    </w:r>
  </w:p>
  <w:p w:rsidR="009A743B" w:rsidP="009A7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25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8A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220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43B"/>
  </w:style>
  <w:style w:type="character" w:customStyle="1" w:styleId="Heading1Char">
    <w:name w:val="Heading 1 Char"/>
    <w:basedOn w:val="DefaultParagraphFont"/>
    <w:link w:val="Heading1"/>
    <w:rsid w:val="009A7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4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43B"/>
    <w:rPr>
      <w:b/>
      <w:spacing w:val="0"/>
    </w:rPr>
  </w:style>
  <w:style w:type="paragraph" w:styleId="ListBullet2">
    <w:name w:val="List Bullet 2"/>
    <w:basedOn w:val="List2"/>
    <w:rsid w:val="009A74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743B"/>
    <w:rPr>
      <w:i/>
    </w:rPr>
  </w:style>
  <w:style w:type="paragraph" w:customStyle="1" w:styleId="SuperHeading">
    <w:name w:val="SuperHeading"/>
    <w:basedOn w:val="Normal"/>
    <w:rsid w:val="009A7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74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7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43B"/>
  </w:style>
  <w:style w:type="paragraph" w:styleId="TableofFigures">
    <w:name w:val="table of figures"/>
    <w:basedOn w:val="Normal"/>
    <w:next w:val="Normal"/>
    <w:semiHidden/>
    <w:rsid w:val="009A7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4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743B"/>
    <w:rPr>
      <w:rFonts w:ascii="Wingdings" w:hAnsi="Wingdings"/>
    </w:rPr>
  </w:style>
  <w:style w:type="paragraph" w:customStyle="1" w:styleId="TableHeading">
    <w:name w:val="Table Heading"/>
    <w:basedOn w:val="HeadingBase"/>
    <w:rsid w:val="009A7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43B"/>
    <w:rPr>
      <w:color w:val="0033CC"/>
      <w:u w:val="none"/>
    </w:rPr>
  </w:style>
  <w:style w:type="paragraph" w:customStyle="1" w:styleId="BodyTextRight">
    <w:name w:val="Body Text Right"/>
    <w:basedOn w:val="BodyText"/>
    <w:rsid w:val="009A7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4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43B"/>
    <w:rPr>
      <w:sz w:val="32"/>
    </w:rPr>
  </w:style>
  <w:style w:type="paragraph" w:customStyle="1" w:styleId="HeadingProcedure">
    <w:name w:val="Heading Procedure"/>
    <w:basedOn w:val="HeadingBase"/>
    <w:next w:val="Normal"/>
    <w:rsid w:val="009A7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43B"/>
    <w:pPr>
      <w:spacing w:before="60" w:after="60"/>
    </w:pPr>
  </w:style>
  <w:style w:type="paragraph" w:styleId="ListContinue">
    <w:name w:val="List Continue"/>
    <w:basedOn w:val="List"/>
    <w:rsid w:val="009A743B"/>
    <w:pPr>
      <w:ind w:firstLine="0"/>
    </w:pPr>
  </w:style>
  <w:style w:type="paragraph" w:customStyle="1" w:styleId="ListNote">
    <w:name w:val="List Note"/>
    <w:basedOn w:val="List"/>
    <w:rsid w:val="009A7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43B"/>
    <w:rPr>
      <w:rFonts w:ascii="Courier New" w:hAnsi="Courier New"/>
    </w:rPr>
  </w:style>
  <w:style w:type="paragraph" w:customStyle="1" w:styleId="NoteBullet">
    <w:name w:val="Note Bullet"/>
    <w:basedOn w:val="Note"/>
    <w:rsid w:val="009A7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4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7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43B"/>
    <w:rPr>
      <w:b/>
      <w:smallCaps/>
    </w:rPr>
  </w:style>
  <w:style w:type="paragraph" w:customStyle="1" w:styleId="TableListNumber">
    <w:name w:val="Table List Number"/>
    <w:basedOn w:val="ListNumber"/>
    <w:rsid w:val="009A7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43B"/>
    <w:pPr>
      <w:numPr>
        <w:numId w:val="10"/>
      </w:numPr>
    </w:pPr>
  </w:style>
  <w:style w:type="paragraph" w:customStyle="1" w:styleId="ListAlpha2">
    <w:name w:val="List Alpha 2"/>
    <w:basedOn w:val="List2"/>
    <w:rsid w:val="009A743B"/>
    <w:pPr>
      <w:numPr>
        <w:numId w:val="9"/>
      </w:numPr>
    </w:pPr>
  </w:style>
  <w:style w:type="paragraph" w:styleId="List2">
    <w:name w:val="List 2"/>
    <w:basedOn w:val="BodyText"/>
    <w:rsid w:val="009A7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4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74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743B"/>
    <w:pPr>
      <w:numPr>
        <w:numId w:val="5"/>
      </w:numPr>
    </w:pPr>
  </w:style>
  <w:style w:type="paragraph" w:styleId="ListContinue2">
    <w:name w:val="List Continue 2"/>
    <w:basedOn w:val="List2"/>
    <w:rsid w:val="009A743B"/>
    <w:pPr>
      <w:ind w:firstLine="0"/>
    </w:pPr>
  </w:style>
  <w:style w:type="paragraph" w:styleId="ListContinue3">
    <w:name w:val="List Continue 3"/>
    <w:basedOn w:val="List3"/>
    <w:rsid w:val="009A743B"/>
    <w:pPr>
      <w:ind w:left="1021" w:firstLine="0"/>
    </w:pPr>
  </w:style>
  <w:style w:type="paragraph" w:styleId="ListContinue4">
    <w:name w:val="List Continue 4"/>
    <w:basedOn w:val="List4"/>
    <w:rsid w:val="009A743B"/>
    <w:pPr>
      <w:ind w:firstLine="0"/>
    </w:pPr>
  </w:style>
  <w:style w:type="paragraph" w:styleId="ListContinue5">
    <w:name w:val="List Continue 5"/>
    <w:basedOn w:val="List5"/>
    <w:rsid w:val="009A743B"/>
    <w:pPr>
      <w:ind w:firstLine="0"/>
    </w:pPr>
  </w:style>
  <w:style w:type="paragraph" w:styleId="ListNumber3">
    <w:name w:val="List Number 3"/>
    <w:basedOn w:val="List3"/>
    <w:rsid w:val="009A743B"/>
    <w:pPr>
      <w:numPr>
        <w:numId w:val="6"/>
      </w:numPr>
    </w:pPr>
  </w:style>
  <w:style w:type="paragraph" w:styleId="ListNumber4">
    <w:name w:val="List Number 4"/>
    <w:basedOn w:val="List4"/>
    <w:rsid w:val="009A743B"/>
    <w:pPr>
      <w:numPr>
        <w:numId w:val="7"/>
      </w:numPr>
    </w:pPr>
  </w:style>
  <w:style w:type="paragraph" w:styleId="ListNumber5">
    <w:name w:val="List Number 5"/>
    <w:basedOn w:val="List5"/>
    <w:rsid w:val="009A743B"/>
    <w:pPr>
      <w:numPr>
        <w:numId w:val="8"/>
      </w:numPr>
    </w:pPr>
  </w:style>
  <w:style w:type="paragraph" w:styleId="BlockText">
    <w:name w:val="Block Text"/>
    <w:basedOn w:val="Normal"/>
    <w:rsid w:val="009A7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43B"/>
    <w:rPr>
      <w:sz w:val="16"/>
      <w:vertAlign w:val="superscript"/>
    </w:rPr>
  </w:style>
  <w:style w:type="character" w:customStyle="1" w:styleId="Symbols">
    <w:name w:val="Symbols"/>
    <w:basedOn w:val="DefaultParagraphFont"/>
    <w:rsid w:val="009A743B"/>
    <w:rPr>
      <w:rFonts w:ascii="Symbol" w:hAnsi="Symbol"/>
    </w:rPr>
  </w:style>
  <w:style w:type="character" w:customStyle="1" w:styleId="MenuOptions">
    <w:name w:val="Menu Options"/>
    <w:basedOn w:val="DefaultParagraphFont"/>
    <w:rsid w:val="009A7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43B"/>
    <w:rPr>
      <w:b/>
    </w:rPr>
  </w:style>
  <w:style w:type="character" w:customStyle="1" w:styleId="Underlined">
    <w:name w:val="Underlined"/>
    <w:basedOn w:val="DefaultParagraphFont"/>
    <w:rsid w:val="009A743B"/>
    <w:rPr>
      <w:u w:val="single"/>
    </w:rPr>
  </w:style>
  <w:style w:type="paragraph" w:customStyle="1" w:styleId="TableBodyTextRight">
    <w:name w:val="Table Body Text Right"/>
    <w:basedOn w:val="TableBodyText"/>
    <w:rsid w:val="009A7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43B"/>
    <w:rPr>
      <w:sz w:val="18"/>
    </w:rPr>
  </w:style>
  <w:style w:type="paragraph" w:customStyle="1" w:styleId="BodySmallRight">
    <w:name w:val="Body Small Right"/>
    <w:basedOn w:val="BodyTextRight"/>
    <w:rsid w:val="009A743B"/>
    <w:rPr>
      <w:sz w:val="18"/>
      <w:szCs w:val="18"/>
    </w:rPr>
  </w:style>
  <w:style w:type="paragraph" w:customStyle="1" w:styleId="MarginEdition">
    <w:name w:val="Margin Edition"/>
    <w:basedOn w:val="MarginNote"/>
    <w:rsid w:val="009A7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43B"/>
    <w:rPr>
      <w:sz w:val="2"/>
      <w:szCs w:val="2"/>
    </w:rPr>
  </w:style>
  <w:style w:type="character" w:customStyle="1" w:styleId="Small">
    <w:name w:val="Small"/>
    <w:basedOn w:val="DefaultParagraphFont"/>
    <w:rsid w:val="009A743B"/>
    <w:rPr>
      <w:sz w:val="16"/>
    </w:rPr>
  </w:style>
  <w:style w:type="paragraph" w:customStyle="1" w:styleId="WideTable">
    <w:name w:val="Wide Table"/>
    <w:basedOn w:val="Normal"/>
    <w:rsid w:val="009A7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43B"/>
  </w:style>
  <w:style w:type="paragraph" w:styleId="Quote">
    <w:name w:val="Quote"/>
    <w:basedOn w:val="Heading1"/>
    <w:link w:val="QuoteChar"/>
    <w:qFormat/>
    <w:rsid w:val="009A7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43B"/>
    <w:pPr>
      <w:pageBreakBefore/>
    </w:pPr>
  </w:style>
  <w:style w:type="paragraph" w:customStyle="1" w:styleId="Border">
    <w:name w:val="Border"/>
    <w:basedOn w:val="Normal"/>
    <w:qFormat/>
    <w:rsid w:val="009A7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43B"/>
    <w:rPr>
      <w:u w:val="single"/>
    </w:rPr>
  </w:style>
  <w:style w:type="character" w:customStyle="1" w:styleId="BoldandItalics">
    <w:name w:val="Bold and Italics"/>
    <w:qFormat/>
    <w:rsid w:val="009A743B"/>
    <w:rPr>
      <w:b/>
      <w:i/>
      <w:u w:val="none"/>
    </w:rPr>
  </w:style>
  <w:style w:type="paragraph" w:styleId="BalloonText">
    <w:name w:val="Balloon Text"/>
    <w:basedOn w:val="Normal"/>
    <w:link w:val="BalloonTextChar"/>
    <w:rsid w:val="009A7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43B"/>
    <w:pPr>
      <w:spacing w:before="0" w:after="0"/>
    </w:pPr>
  </w:style>
  <w:style w:type="paragraph" w:customStyle="1" w:styleId="BodyTextBold">
    <w:name w:val="Body Text Bold"/>
    <w:basedOn w:val="BodyText"/>
    <w:qFormat/>
    <w:rsid w:val="009A743B"/>
    <w:rPr>
      <w:b/>
    </w:rPr>
  </w:style>
  <w:style w:type="character" w:styleId="Hyperlink">
    <w:name w:val="Hyperlink"/>
    <w:basedOn w:val="DefaultParagraphFont"/>
    <w:uiPriority w:val="99"/>
    <w:unhideWhenUsed/>
    <w:rsid w:val="00F94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761</Words>
  <Characters>4766</Characters>
  <Application>Microsoft Office Word</Application>
  <DocSecurity>0</DocSecurity>
  <Lines>140</Lines>
  <Paragraphs>104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MSFGG3031 Cut thick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2025-03-01T14:54:00Z</dcterms:modified>
</cp:coreProperties>
</file>