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92C" w:rsidP="00D34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MSFGG3031 Cut thick glass</w:t>
      </w:r>
      <w:r>
        <w:fldChar w:fldCharType="end"/>
      </w:r>
    </w:p>
    <w:p w:rsidR="00D3492C" w:rsidP="00D3492C">
      <w:pPr>
        <w:pStyle w:val="Version"/>
        <w:sectPr w:rsidSect="001772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2C2" w:rsidP="001772C2">
      <w:pPr>
        <w:pStyle w:val="SuperHeading"/>
      </w:pPr>
      <w:r w:rsidRPr="001772C2">
        <w:t>Assessment Requirements for MSFGG3031 Cut thick glass</w:t>
      </w:r>
    </w:p>
    <w:p w:rsidR="00000000" w:rsidRPr="001772C2" w:rsidP="001772C2">
      <w:pPr>
        <w:pStyle w:val="Heading1"/>
      </w:pPr>
      <w:bookmarkStart w:id="1" w:name="O_1015804"/>
      <w:bookmarkEnd w:id="1"/>
      <w:r w:rsidRPr="001772C2">
        <w:t>Modification History</w:t>
      </w:r>
    </w:p>
    <w:p w:rsidR="00D3492C" w:rsidP="00D3492C">
      <w:pPr>
        <w:pStyle w:val="BodyText"/>
      </w:pPr>
      <w:r w:rsidRPr="001772C2">
        <w:t xml:space="preserve">Release 1. Supersedes and is not equivalent to MSFGG3004 Process thick glass. </w:t>
      </w:r>
    </w:p>
    <w:p w:rsidR="00000000" w:rsidRPr="001772C2" w:rsidP="001772C2">
      <w:pPr>
        <w:pStyle w:val="Heading1"/>
      </w:pPr>
      <w:bookmarkStart w:id="2" w:name="O_1015807"/>
      <w:bookmarkEnd w:id="2"/>
      <w:r w:rsidRPr="001772C2">
        <w:t>Performance Evidence</w:t>
      </w:r>
    </w:p>
    <w:p w:rsidR="00000000" w:rsidRPr="001772C2" w:rsidP="00D3492C">
      <w:pPr>
        <w:pStyle w:val="BodyText"/>
      </w:pPr>
      <w:r w:rsidRPr="001772C2">
        <w:t>There must be evidence the candidate has completed the tasks outlined in the elements and perform</w:t>
      </w:r>
      <w:r w:rsidRPr="001772C2">
        <w:t xml:space="preserve">ance criteria of this unit, and: </w:t>
      </w:r>
    </w:p>
    <w:p w:rsidR="00000000" w:rsidRPr="001772C2" w:rsidP="001772C2">
      <w:pPr>
        <w:pStyle w:val="ListBullet"/>
      </w:pPr>
      <w:r w:rsidRPr="001772C2">
        <w:t>undertaken the following in accordance with all safety and AS/NZS 4667 requirements:</w:t>
      </w:r>
    </w:p>
    <w:p w:rsidR="00000000" w:rsidRPr="001772C2" w:rsidP="001772C2">
      <w:pPr>
        <w:pStyle w:val="ListBullet2"/>
      </w:pPr>
      <w:r w:rsidRPr="001772C2">
        <w:t>cut at least 3 different thicknesses of annealed glass (between 8mm and 25mm thick)</w:t>
      </w:r>
    </w:p>
    <w:p w:rsidR="00000000" w:rsidRPr="001772C2" w:rsidP="001772C2">
      <w:pPr>
        <w:pStyle w:val="ListBullet2"/>
      </w:pPr>
      <w:r w:rsidRPr="001772C2">
        <w:t>cut at least 2 different thicknesses of laminated g</w:t>
      </w:r>
      <w:r w:rsidRPr="001772C2">
        <w:t>lass (between 8.38mm and 25mm thick)</w:t>
      </w:r>
    </w:p>
    <w:p w:rsidR="00000000" w:rsidRPr="001772C2" w:rsidP="001772C2">
      <w:pPr>
        <w:pStyle w:val="ListBullet2"/>
      </w:pPr>
      <w:r w:rsidRPr="001772C2">
        <w:t>completed all of the following on both annealed and laminated glass:</w:t>
      </w:r>
    </w:p>
    <w:p w:rsidR="00000000" w:rsidRPr="001772C2" w:rsidP="001772C2">
      <w:pPr>
        <w:pStyle w:val="ListBullet3"/>
      </w:pPr>
      <w:r w:rsidRPr="001772C2">
        <w:t>straight cuts by hand and diamond saws</w:t>
      </w:r>
    </w:p>
    <w:p w:rsidR="00000000" w:rsidRPr="001772C2" w:rsidP="001772C2">
      <w:pPr>
        <w:pStyle w:val="ListBullet3"/>
      </w:pPr>
      <w:r w:rsidRPr="001772C2">
        <w:t>simple shapes</w:t>
      </w:r>
    </w:p>
    <w:p w:rsidR="00000000" w:rsidRPr="001772C2" w:rsidP="001772C2">
      <w:pPr>
        <w:pStyle w:val="ListBullet3"/>
      </w:pPr>
      <w:r w:rsidRPr="001772C2">
        <w:t>truncated and radius corners</w:t>
      </w:r>
    </w:p>
    <w:p w:rsidR="00D3492C" w:rsidP="001772C2">
      <w:pPr>
        <w:pStyle w:val="ListBullet3"/>
      </w:pPr>
      <w:r w:rsidRPr="001772C2">
        <w:t xml:space="preserve">circles and ovals.  </w:t>
      </w:r>
    </w:p>
    <w:p w:rsidR="00D3492C" w:rsidP="001772C2">
      <w:pPr>
        <w:pStyle w:val="ListBullet3"/>
      </w:pPr>
    </w:p>
    <w:p w:rsidR="00000000" w:rsidRPr="001772C2" w:rsidP="001772C2">
      <w:pPr>
        <w:pStyle w:val="Heading1"/>
      </w:pPr>
      <w:bookmarkStart w:id="3" w:name="O_1015806"/>
      <w:bookmarkEnd w:id="3"/>
      <w:r w:rsidRPr="001772C2">
        <w:t>Knowledge Evidence</w:t>
      </w:r>
    </w:p>
    <w:p w:rsidR="00000000" w:rsidRPr="001772C2" w:rsidP="00D3492C">
      <w:pPr>
        <w:pStyle w:val="BodyText"/>
      </w:pPr>
      <w:r w:rsidRPr="001772C2">
        <w:t>There must be evidence the candidate has knowledge of:</w:t>
      </w:r>
    </w:p>
    <w:p w:rsidR="00000000" w:rsidRPr="001772C2" w:rsidP="001772C2">
      <w:pPr>
        <w:pStyle w:val="ListBullet"/>
      </w:pPr>
      <w:r w:rsidRPr="001772C2">
        <w:t xml:space="preserve">purpose and key provisions of Australian Standard AS/NZS 4667 </w:t>
      </w:r>
    </w:p>
    <w:p w:rsidR="00000000" w:rsidRPr="001772C2" w:rsidP="001772C2">
      <w:pPr>
        <w:pStyle w:val="ListBullet"/>
      </w:pPr>
      <w:r w:rsidRPr="001772C2">
        <w:t xml:space="preserve">mathematical procedures for optimisation </w:t>
      </w:r>
    </w:p>
    <w:p w:rsidR="00000000" w:rsidRPr="001772C2" w:rsidP="001772C2">
      <w:pPr>
        <w:pStyle w:val="ListBullet"/>
      </w:pPr>
      <w:r w:rsidRPr="001772C2">
        <w:t>types of information commonly found in work instructions and how to interpret</w:t>
      </w:r>
    </w:p>
    <w:p w:rsidR="00000000" w:rsidRPr="001772C2" w:rsidP="001772C2">
      <w:pPr>
        <w:pStyle w:val="ListBullet"/>
      </w:pPr>
      <w:r w:rsidRPr="001772C2">
        <w:t>thick glass:</w:t>
      </w:r>
    </w:p>
    <w:p w:rsidR="00000000" w:rsidRPr="001772C2" w:rsidP="001772C2">
      <w:pPr>
        <w:pStyle w:val="ListBullet2"/>
      </w:pPr>
      <w:r w:rsidRPr="001772C2">
        <w:t>qua</w:t>
      </w:r>
      <w:r w:rsidRPr="001772C2">
        <w:t>lities and characteristics, including hazards and handling requirements</w:t>
      </w:r>
    </w:p>
    <w:p w:rsidR="00000000" w:rsidRPr="001772C2" w:rsidP="001772C2">
      <w:pPr>
        <w:pStyle w:val="ListBullet2"/>
      </w:pPr>
      <w:r w:rsidRPr="001772C2">
        <w:t xml:space="preserve">workplace safety system requirements </w:t>
      </w:r>
    </w:p>
    <w:p w:rsidR="00000000" w:rsidRPr="001772C2" w:rsidP="001772C2">
      <w:pPr>
        <w:pStyle w:val="ListBullet2"/>
      </w:pPr>
      <w:r w:rsidRPr="001772C2">
        <w:t xml:space="preserve">work flow requirements </w:t>
      </w:r>
    </w:p>
    <w:p w:rsidR="00000000" w:rsidRPr="001772C2" w:rsidP="001772C2">
      <w:pPr>
        <w:pStyle w:val="ListBullet2"/>
      </w:pPr>
      <w:r w:rsidRPr="001772C2">
        <w:t>cutting techniques, the types of problems that may occur and how to avoid and respond</w:t>
      </w:r>
    </w:p>
    <w:p w:rsidR="00000000" w:rsidRPr="001772C2" w:rsidP="001772C2">
      <w:pPr>
        <w:pStyle w:val="ListBullet2"/>
      </w:pPr>
      <w:r w:rsidRPr="001772C2">
        <w:t>laminate requirements as glass thickness increases</w:t>
      </w:r>
    </w:p>
    <w:p w:rsidR="00000000" w:rsidRPr="001772C2" w:rsidP="001772C2">
      <w:pPr>
        <w:pStyle w:val="ListBullet2"/>
      </w:pPr>
      <w:r w:rsidRPr="001772C2">
        <w:t>quality assurance</w:t>
      </w:r>
    </w:p>
    <w:p w:rsidR="00000000" w:rsidRPr="001772C2" w:rsidP="001772C2">
      <w:pPr>
        <w:pStyle w:val="ListBullet2"/>
      </w:pPr>
      <w:r w:rsidRPr="001772C2">
        <w:t xml:space="preserve">workplace documentation requirements </w:t>
      </w:r>
    </w:p>
    <w:p w:rsidR="00000000" w:rsidRPr="001772C2" w:rsidP="001772C2">
      <w:pPr>
        <w:pStyle w:val="ListBullet"/>
      </w:pPr>
      <w:r w:rsidRPr="001772C2">
        <w:t xml:space="preserve">types, characteristics, safe use, maintenance and limitations of glass cutting tools and equipment: </w:t>
      </w:r>
    </w:p>
    <w:p w:rsidR="00000000" w:rsidRPr="001772C2" w:rsidP="001772C2">
      <w:pPr>
        <w:pStyle w:val="ListBullet2"/>
      </w:pPr>
      <w:r w:rsidRPr="001772C2">
        <w:t>circle</w:t>
      </w:r>
    </w:p>
    <w:p w:rsidR="00000000" w:rsidRPr="001772C2" w:rsidP="001772C2">
      <w:pPr>
        <w:pStyle w:val="ListBullet2"/>
      </w:pPr>
      <w:r w:rsidRPr="001772C2">
        <w:t>speed</w:t>
      </w:r>
    </w:p>
    <w:p w:rsidR="00D3492C" w:rsidP="001772C2">
      <w:pPr>
        <w:pStyle w:val="ListBullet2"/>
      </w:pPr>
      <w:r w:rsidRPr="001772C2">
        <w:t>tungsten wheel.</w:t>
      </w:r>
    </w:p>
    <w:p w:rsidR="00D3492C" w:rsidP="001772C2">
      <w:pPr>
        <w:pStyle w:val="ListBullet2"/>
      </w:pPr>
    </w:p>
    <w:p w:rsidR="00000000" w:rsidRPr="001772C2" w:rsidP="001772C2">
      <w:pPr>
        <w:pStyle w:val="Heading1"/>
      </w:pPr>
      <w:bookmarkStart w:id="4" w:name="O_1015805"/>
      <w:bookmarkEnd w:id="4"/>
      <w:r w:rsidRPr="001772C2">
        <w:t>Assessment Conditions</w:t>
      </w:r>
    </w:p>
    <w:p w:rsidR="00000000" w:rsidRPr="001772C2" w:rsidP="00D3492C">
      <w:pPr>
        <w:pStyle w:val="BodyText"/>
      </w:pPr>
      <w:r w:rsidRPr="001772C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772C2" w:rsidP="001772C2">
      <w:pPr>
        <w:pStyle w:val="ListBullet"/>
      </w:pPr>
      <w:r w:rsidRPr="001772C2">
        <w:t xml:space="preserve">use of suitable facilities, equipment and resources, including: </w:t>
      </w:r>
    </w:p>
    <w:p w:rsidR="00000000" w:rsidRPr="001772C2" w:rsidP="001772C2">
      <w:pPr>
        <w:pStyle w:val="ListBullet2"/>
      </w:pPr>
      <w:r w:rsidRPr="001772C2">
        <w:t>glass sheet and/or product greater than 8mm to be cut</w:t>
      </w:r>
    </w:p>
    <w:p w:rsidR="00000000" w:rsidRPr="001772C2" w:rsidP="001772C2">
      <w:pPr>
        <w:pStyle w:val="ListBullet2"/>
      </w:pPr>
      <w:r w:rsidRPr="001772C2">
        <w:t>equipment, tools and materials to complete tasks specified in the Performance Evidence</w:t>
      </w:r>
    </w:p>
    <w:p w:rsidR="00000000" w:rsidRPr="001772C2" w:rsidP="001772C2">
      <w:pPr>
        <w:pStyle w:val="ListBullet2"/>
      </w:pPr>
      <w:r w:rsidRPr="001772C2">
        <w:t>safety and personal protective equipment</w:t>
      </w:r>
    </w:p>
    <w:p w:rsidR="00000000" w:rsidRPr="001772C2" w:rsidP="001772C2">
      <w:pPr>
        <w:pStyle w:val="ListBullet2"/>
      </w:pPr>
      <w:r w:rsidRPr="001772C2">
        <w:t>work ord</w:t>
      </w:r>
      <w:r w:rsidRPr="001772C2">
        <w:t xml:space="preserve">ers </w:t>
      </w:r>
    </w:p>
    <w:p w:rsidR="00000000" w:rsidRPr="001772C2" w:rsidP="001772C2">
      <w:pPr>
        <w:pStyle w:val="ListBullet2"/>
      </w:pPr>
      <w:r w:rsidRPr="001772C2">
        <w:t>workplace procedures.</w:t>
      </w:r>
    </w:p>
    <w:p w:rsidR="00D3492C" w:rsidP="00D3492C">
      <w:pPr>
        <w:pStyle w:val="BodyText"/>
      </w:pPr>
      <w:r w:rsidRPr="001772C2">
        <w:t>Assessors must satisfy the NVR/AQTF mandatory competency requirements for assessors.</w:t>
      </w:r>
    </w:p>
    <w:p w:rsidR="00000000" w:rsidRPr="001772C2" w:rsidP="001772C2">
      <w:pPr>
        <w:pStyle w:val="Heading1"/>
      </w:pPr>
      <w:bookmarkStart w:id="5" w:name="O_1015803"/>
      <w:bookmarkEnd w:id="5"/>
      <w:r w:rsidRPr="001772C2">
        <w:t>Links</w:t>
      </w:r>
    </w:p>
    <w:p w:rsidR="00000000" w:rsidRPr="001772C2" w:rsidP="00D3492C">
      <w:pPr>
        <w:pStyle w:val="BodyText"/>
      </w:pPr>
      <w:r w:rsidRPr="001772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D0A3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772C2" w:rsidP="001772C2"/>
    <w:sectPr w:rsidSect="001772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C2" w:rsidRPr="00D3492C" w:rsidP="00D34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2C" w:rsidP="001772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492C" w:rsidP="001772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492C" w:rsidP="001772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2C2" w:rsidRPr="00D3492C" w:rsidP="00D34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2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2C" w:rsidRPr="002D2AF8" w:rsidP="001772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MSFGG3031 Cut thick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3492C" w:rsidP="001772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640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70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E0CE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2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2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2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2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2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2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2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2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2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2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2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2C2"/>
  </w:style>
  <w:style w:type="character" w:customStyle="1" w:styleId="Heading1Char">
    <w:name w:val="Heading 1 Char"/>
    <w:basedOn w:val="DefaultParagraphFont"/>
    <w:link w:val="Heading1"/>
    <w:rsid w:val="001772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2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2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2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2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2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2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772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772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2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2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2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2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2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2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2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2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2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2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2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2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2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2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2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2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2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2C2"/>
    <w:rPr>
      <w:b/>
      <w:spacing w:val="0"/>
    </w:rPr>
  </w:style>
  <w:style w:type="paragraph" w:customStyle="1" w:styleId="SuperTitle">
    <w:name w:val="SuperTitle"/>
    <w:basedOn w:val="Title"/>
    <w:rsid w:val="001772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2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2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2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2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2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2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2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2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2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2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2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2C2"/>
    <w:rPr>
      <w:i/>
    </w:rPr>
  </w:style>
  <w:style w:type="paragraph" w:styleId="Caption">
    <w:name w:val="caption"/>
    <w:basedOn w:val="BodyText"/>
    <w:next w:val="Normal"/>
    <w:qFormat/>
    <w:rsid w:val="001772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2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2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2C2"/>
  </w:style>
  <w:style w:type="paragraph" w:styleId="TableofFigures">
    <w:name w:val="table of figures"/>
    <w:basedOn w:val="Normal"/>
    <w:next w:val="Normal"/>
    <w:semiHidden/>
    <w:rsid w:val="001772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2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772C2"/>
    <w:rPr>
      <w:rFonts w:ascii="Wingdings" w:hAnsi="Wingdings"/>
    </w:rPr>
  </w:style>
  <w:style w:type="paragraph" w:customStyle="1" w:styleId="TableHeading">
    <w:name w:val="Table Heading"/>
    <w:basedOn w:val="HeadingBase"/>
    <w:rsid w:val="001772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2C2"/>
    <w:rPr>
      <w:color w:val="0033CC"/>
      <w:u w:val="none"/>
    </w:rPr>
  </w:style>
  <w:style w:type="paragraph" w:customStyle="1" w:styleId="BodyTextRight">
    <w:name w:val="Body Text Right"/>
    <w:basedOn w:val="BodyText"/>
    <w:rsid w:val="001772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2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2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2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2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2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2C2"/>
    <w:rPr>
      <w:sz w:val="32"/>
    </w:rPr>
  </w:style>
  <w:style w:type="paragraph" w:customStyle="1" w:styleId="HeadingProcedure">
    <w:name w:val="Heading Procedure"/>
    <w:basedOn w:val="HeadingBase"/>
    <w:next w:val="Normal"/>
    <w:rsid w:val="001772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2C2"/>
    <w:pPr>
      <w:spacing w:before="60" w:after="60"/>
    </w:pPr>
  </w:style>
  <w:style w:type="paragraph" w:styleId="ListContinue">
    <w:name w:val="List Continue"/>
    <w:basedOn w:val="List"/>
    <w:rsid w:val="001772C2"/>
    <w:pPr>
      <w:ind w:firstLine="0"/>
    </w:pPr>
  </w:style>
  <w:style w:type="paragraph" w:customStyle="1" w:styleId="ListNote">
    <w:name w:val="List Note"/>
    <w:basedOn w:val="List"/>
    <w:rsid w:val="001772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2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2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2C2"/>
    <w:rPr>
      <w:rFonts w:ascii="Courier New" w:hAnsi="Courier New"/>
    </w:rPr>
  </w:style>
  <w:style w:type="paragraph" w:customStyle="1" w:styleId="NoteBullet">
    <w:name w:val="Note Bullet"/>
    <w:basedOn w:val="Note"/>
    <w:rsid w:val="001772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2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2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2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2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72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2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2C2"/>
    <w:rPr>
      <w:b/>
      <w:smallCaps/>
    </w:rPr>
  </w:style>
  <w:style w:type="paragraph" w:customStyle="1" w:styleId="TableListNumber">
    <w:name w:val="Table List Number"/>
    <w:basedOn w:val="ListNumber"/>
    <w:rsid w:val="001772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2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2C2"/>
    <w:pPr>
      <w:numPr>
        <w:numId w:val="10"/>
      </w:numPr>
    </w:pPr>
  </w:style>
  <w:style w:type="paragraph" w:customStyle="1" w:styleId="ListAlpha2">
    <w:name w:val="List Alpha 2"/>
    <w:basedOn w:val="List2"/>
    <w:rsid w:val="001772C2"/>
    <w:pPr>
      <w:numPr>
        <w:numId w:val="9"/>
      </w:numPr>
    </w:pPr>
  </w:style>
  <w:style w:type="paragraph" w:styleId="List2">
    <w:name w:val="List 2"/>
    <w:basedOn w:val="BodyText"/>
    <w:rsid w:val="001772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2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2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2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772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772C2"/>
    <w:pPr>
      <w:numPr>
        <w:numId w:val="5"/>
      </w:numPr>
    </w:pPr>
  </w:style>
  <w:style w:type="paragraph" w:styleId="ListContinue2">
    <w:name w:val="List Continue 2"/>
    <w:basedOn w:val="List2"/>
    <w:rsid w:val="001772C2"/>
    <w:pPr>
      <w:ind w:firstLine="0"/>
    </w:pPr>
  </w:style>
  <w:style w:type="paragraph" w:styleId="ListContinue3">
    <w:name w:val="List Continue 3"/>
    <w:basedOn w:val="List3"/>
    <w:rsid w:val="001772C2"/>
    <w:pPr>
      <w:ind w:left="1021" w:firstLine="0"/>
    </w:pPr>
  </w:style>
  <w:style w:type="paragraph" w:styleId="ListContinue4">
    <w:name w:val="List Continue 4"/>
    <w:basedOn w:val="List4"/>
    <w:rsid w:val="001772C2"/>
    <w:pPr>
      <w:ind w:firstLine="0"/>
    </w:pPr>
  </w:style>
  <w:style w:type="paragraph" w:styleId="ListContinue5">
    <w:name w:val="List Continue 5"/>
    <w:basedOn w:val="List5"/>
    <w:rsid w:val="001772C2"/>
    <w:pPr>
      <w:ind w:firstLine="0"/>
    </w:pPr>
  </w:style>
  <w:style w:type="paragraph" w:styleId="ListNumber3">
    <w:name w:val="List Number 3"/>
    <w:basedOn w:val="List3"/>
    <w:rsid w:val="001772C2"/>
    <w:pPr>
      <w:numPr>
        <w:numId w:val="6"/>
      </w:numPr>
    </w:pPr>
  </w:style>
  <w:style w:type="paragraph" w:styleId="ListNumber4">
    <w:name w:val="List Number 4"/>
    <w:basedOn w:val="List4"/>
    <w:rsid w:val="001772C2"/>
    <w:pPr>
      <w:numPr>
        <w:numId w:val="7"/>
      </w:numPr>
    </w:pPr>
  </w:style>
  <w:style w:type="paragraph" w:styleId="ListNumber5">
    <w:name w:val="List Number 5"/>
    <w:basedOn w:val="List5"/>
    <w:rsid w:val="001772C2"/>
    <w:pPr>
      <w:numPr>
        <w:numId w:val="8"/>
      </w:numPr>
    </w:pPr>
  </w:style>
  <w:style w:type="paragraph" w:styleId="BlockText">
    <w:name w:val="Block Text"/>
    <w:basedOn w:val="Normal"/>
    <w:rsid w:val="001772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2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2C2"/>
    <w:rPr>
      <w:sz w:val="16"/>
      <w:vertAlign w:val="superscript"/>
    </w:rPr>
  </w:style>
  <w:style w:type="character" w:customStyle="1" w:styleId="Symbols">
    <w:name w:val="Symbols"/>
    <w:basedOn w:val="DefaultParagraphFont"/>
    <w:rsid w:val="001772C2"/>
    <w:rPr>
      <w:rFonts w:ascii="Symbol" w:hAnsi="Symbol"/>
    </w:rPr>
  </w:style>
  <w:style w:type="character" w:customStyle="1" w:styleId="MenuOptions">
    <w:name w:val="Menu Options"/>
    <w:basedOn w:val="DefaultParagraphFont"/>
    <w:rsid w:val="001772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2C2"/>
    <w:rPr>
      <w:b/>
    </w:rPr>
  </w:style>
  <w:style w:type="character" w:customStyle="1" w:styleId="Underlined">
    <w:name w:val="Underlined"/>
    <w:basedOn w:val="DefaultParagraphFont"/>
    <w:rsid w:val="001772C2"/>
    <w:rPr>
      <w:u w:val="single"/>
    </w:rPr>
  </w:style>
  <w:style w:type="paragraph" w:customStyle="1" w:styleId="TableBodyTextRight">
    <w:name w:val="Table Body Text Right"/>
    <w:basedOn w:val="TableBodyText"/>
    <w:rsid w:val="001772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2C2"/>
    <w:rPr>
      <w:sz w:val="18"/>
    </w:rPr>
  </w:style>
  <w:style w:type="paragraph" w:customStyle="1" w:styleId="BodySmallRight">
    <w:name w:val="Body Small Right"/>
    <w:basedOn w:val="BodyTextRight"/>
    <w:rsid w:val="001772C2"/>
    <w:rPr>
      <w:sz w:val="18"/>
      <w:szCs w:val="18"/>
    </w:rPr>
  </w:style>
  <w:style w:type="paragraph" w:customStyle="1" w:styleId="MarginEdition">
    <w:name w:val="Margin Edition"/>
    <w:basedOn w:val="MarginNote"/>
    <w:rsid w:val="001772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2C2"/>
    <w:rPr>
      <w:sz w:val="2"/>
      <w:szCs w:val="2"/>
    </w:rPr>
  </w:style>
  <w:style w:type="character" w:customStyle="1" w:styleId="Small">
    <w:name w:val="Small"/>
    <w:basedOn w:val="DefaultParagraphFont"/>
    <w:rsid w:val="001772C2"/>
    <w:rPr>
      <w:sz w:val="16"/>
    </w:rPr>
  </w:style>
  <w:style w:type="paragraph" w:customStyle="1" w:styleId="WideTable">
    <w:name w:val="Wide Table"/>
    <w:basedOn w:val="Normal"/>
    <w:rsid w:val="001772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2C2"/>
  </w:style>
  <w:style w:type="paragraph" w:styleId="Quote">
    <w:name w:val="Quote"/>
    <w:basedOn w:val="Heading1"/>
    <w:link w:val="QuoteChar"/>
    <w:qFormat/>
    <w:rsid w:val="001772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2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2C2"/>
    <w:pPr>
      <w:pageBreakBefore/>
    </w:pPr>
  </w:style>
  <w:style w:type="paragraph" w:customStyle="1" w:styleId="Border">
    <w:name w:val="Border"/>
    <w:basedOn w:val="Normal"/>
    <w:qFormat/>
    <w:rsid w:val="001772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2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2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2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2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2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2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2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2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2C2"/>
    <w:rPr>
      <w:u w:val="single"/>
    </w:rPr>
  </w:style>
  <w:style w:type="character" w:customStyle="1" w:styleId="BoldandItalics">
    <w:name w:val="Bold and Italics"/>
    <w:qFormat/>
    <w:rsid w:val="001772C2"/>
    <w:rPr>
      <w:b/>
      <w:i/>
      <w:u w:val="none"/>
    </w:rPr>
  </w:style>
  <w:style w:type="paragraph" w:styleId="BalloonText">
    <w:name w:val="Balloon Text"/>
    <w:basedOn w:val="Normal"/>
    <w:link w:val="BalloonTextChar"/>
    <w:rsid w:val="001772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2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2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2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2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2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2C2"/>
    <w:pPr>
      <w:spacing w:before="0" w:after="0"/>
    </w:pPr>
  </w:style>
  <w:style w:type="paragraph" w:customStyle="1" w:styleId="BodyTextBold">
    <w:name w:val="Body Text Bold"/>
    <w:basedOn w:val="BodyText"/>
    <w:qFormat/>
    <w:rsid w:val="001772C2"/>
    <w:rPr>
      <w:b/>
    </w:rPr>
  </w:style>
  <w:style w:type="character" w:styleId="Hyperlink">
    <w:name w:val="Hyperlink"/>
    <w:basedOn w:val="DefaultParagraphFont"/>
    <w:uiPriority w:val="99"/>
    <w:unhideWhenUsed/>
    <w:rsid w:val="00D34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2106</Characters>
  <Application>Microsoft Office Word</Application>
  <DocSecurity>0</DocSecurity>
  <Lines>61</Lines>
  <Paragraphs>52</Paragraphs>
  <ScaleCrop>false</ScaleCrop>
  <Company>Author-it Software Corporation Ltd.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MSFGG3031 Cut thick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