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6133" w:rsidP="001561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MSFGG3029 Assess glass and glazing requirements</w:t>
      </w:r>
      <w:r>
        <w:fldChar w:fldCharType="end"/>
      </w:r>
    </w:p>
    <w:p w:rsidR="00156133" w:rsidP="00156133">
      <w:pPr>
        <w:pStyle w:val="Version"/>
        <w:sectPr w:rsidSect="00D81C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1CC7" w:rsidP="00D81CC7">
      <w:pPr>
        <w:pStyle w:val="SuperHeading"/>
      </w:pPr>
      <w:r w:rsidRPr="00D81CC7">
        <w:t>MSFGG3029 Assess glass and glazing requirements</w:t>
      </w:r>
    </w:p>
    <w:p w:rsidR="00000000" w:rsidRPr="00D81CC7" w:rsidP="00D81CC7">
      <w:pPr>
        <w:pStyle w:val="Heading1"/>
      </w:pPr>
      <w:bookmarkStart w:id="1" w:name="O_1014790"/>
      <w:bookmarkEnd w:id="1"/>
      <w:r w:rsidRPr="00D81CC7">
        <w:t>Modification History</w:t>
      </w:r>
    </w:p>
    <w:p w:rsidR="00000000" w:rsidRPr="00D81CC7" w:rsidP="00156133">
      <w:pPr>
        <w:pStyle w:val="BodyText"/>
      </w:pPr>
      <w:r w:rsidRPr="00D81CC7">
        <w:t>Release 1. Supersedes and is equivalent to MSFGG3002 Assess glass and glazing requirements.</w:t>
      </w:r>
    </w:p>
    <w:p w:rsidR="00000000" w:rsidRPr="00D81CC7" w:rsidP="00D81CC7">
      <w:pPr>
        <w:pStyle w:val="Heading1"/>
      </w:pPr>
      <w:bookmarkStart w:id="2" w:name="O_1014796"/>
      <w:bookmarkEnd w:id="2"/>
      <w:r w:rsidRPr="00D81CC7">
        <w:t>Application</w:t>
      </w:r>
    </w:p>
    <w:p w:rsidR="00000000" w:rsidRPr="00D81CC7" w:rsidP="00156133">
      <w:pPr>
        <w:pStyle w:val="BodyText"/>
      </w:pPr>
      <w:r w:rsidRPr="00D81CC7">
        <w:t>This unit describes the skills and knowledge required to determine and evaluate residential glass and g</w:t>
      </w:r>
      <w:r w:rsidRPr="00D81CC7">
        <w:t xml:space="preserve">lazing requirements against the requirements of relevant Australian Standards. </w:t>
      </w:r>
    </w:p>
    <w:p w:rsidR="00000000" w:rsidRPr="00D81CC7" w:rsidP="00156133">
      <w:pPr>
        <w:pStyle w:val="BodyText"/>
      </w:pPr>
      <w:r w:rsidRPr="00D81CC7">
        <w:t xml:space="preserve">This unit applies to glaziers, who apply specialised knowledge in determining compliance requirements for glass and glazing products. </w:t>
      </w:r>
    </w:p>
    <w:p w:rsidR="00156133" w:rsidP="00156133">
      <w:pPr>
        <w:pStyle w:val="BodyText"/>
      </w:pPr>
      <w:r w:rsidRPr="00D81CC7">
        <w:t>No licensing or certification requirement</w:t>
      </w:r>
      <w:r w:rsidRPr="00D81CC7">
        <w:t>s exist at the time of publication. Relevant legislation, industry standards and codes of practice within Australia must be applied.</w:t>
      </w:r>
    </w:p>
    <w:p w:rsidR="00000000" w:rsidRPr="00D81CC7" w:rsidP="00D81CC7">
      <w:pPr>
        <w:pStyle w:val="Heading1"/>
      </w:pPr>
      <w:bookmarkStart w:id="3" w:name="O_1014795"/>
      <w:bookmarkEnd w:id="3"/>
      <w:r w:rsidRPr="00D81CC7">
        <w:t>Pre-requisite Unit</w:t>
      </w:r>
    </w:p>
    <w:p w:rsidR="00000000" w:rsidRPr="00D81CC7" w:rsidP="00156133">
      <w:pPr>
        <w:pStyle w:val="BodyText"/>
      </w:pPr>
      <w:r w:rsidRPr="00D81CC7">
        <w:t>N/A</w:t>
      </w:r>
    </w:p>
    <w:p w:rsidR="00000000" w:rsidRPr="00D81CC7" w:rsidP="00D81CC7">
      <w:pPr>
        <w:pStyle w:val="Heading1"/>
      </w:pPr>
      <w:bookmarkStart w:id="4" w:name="O_1014794"/>
      <w:bookmarkEnd w:id="4"/>
      <w:r w:rsidRPr="00D81CC7">
        <w:t>Unit Sector</w:t>
      </w:r>
    </w:p>
    <w:p w:rsidR="00000000" w:rsidRPr="00D81CC7" w:rsidP="00156133">
      <w:pPr>
        <w:pStyle w:val="BodyText"/>
      </w:pPr>
      <w:r w:rsidRPr="00D81CC7">
        <w:t>Glass and Glazing</w:t>
      </w:r>
    </w:p>
    <w:p w:rsidR="00000000" w:rsidRPr="00D81CC7" w:rsidP="00D81CC7">
      <w:pPr>
        <w:pStyle w:val="Heading1"/>
      </w:pPr>
      <w:bookmarkStart w:id="5" w:name="O_1014793"/>
      <w:bookmarkEnd w:id="5"/>
      <w:r w:rsidRPr="00D81CC7">
        <w:t>Elements and</w:t>
      </w:r>
      <w:r w:rsidRPr="00D81CC7">
        <w:t xml:space="preserve">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1561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CC7" w:rsidP="00D81CC7">
            <w:pPr>
              <w:pStyle w:val="BodyText"/>
            </w:pPr>
            <w:r w:rsidRPr="00D81CC7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CC7">
            <w:pPr>
              <w:pStyle w:val="BodyText"/>
              <w:rPr>
                <w:lang w:val="en-NZ"/>
              </w:rPr>
            </w:pPr>
            <w:r w:rsidRPr="00D81CC7">
              <w:rPr>
                <w:rStyle w:val="SpecialBold"/>
              </w:rPr>
              <w:t>Performance Criteria</w:t>
            </w:r>
          </w:p>
        </w:tc>
      </w:tr>
      <w:tr w:rsidTr="001561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CC7" w:rsidP="00D81CC7">
            <w:pPr>
              <w:pStyle w:val="BodyText"/>
            </w:pPr>
            <w:r w:rsidRPr="00D81CC7">
              <w:rPr>
                <w:rStyle w:val="Emphasis"/>
              </w:rPr>
              <w:t xml:space="preserve">Elements describe the </w:t>
            </w:r>
            <w:r w:rsidRPr="00D81CC7">
              <w:t xml:space="preserve">essential </w:t>
            </w:r>
            <w:r w:rsidRPr="00D81CC7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CC7">
            <w:pPr>
              <w:pStyle w:val="BodyText"/>
              <w:rPr>
                <w:lang w:val="en-NZ"/>
              </w:rPr>
            </w:pPr>
            <w:r w:rsidRPr="00D81CC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561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CC7">
            <w:pPr>
              <w:pStyle w:val="BodyText"/>
              <w:rPr>
                <w:lang w:val="en-NZ"/>
              </w:rPr>
            </w:pPr>
            <w:r w:rsidRPr="00D81CC7">
              <w:t>1. Prepare for assessment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CC7" w:rsidP="00D81CC7">
            <w:pPr>
              <w:pStyle w:val="BodyText"/>
            </w:pPr>
            <w:r w:rsidRPr="00D81CC7">
              <w:t>1.1 Review work doc</w:t>
            </w:r>
            <w:r w:rsidRPr="00D81CC7">
              <w:t xml:space="preserve">umentation and identify customer requirements and expectations regarding glass and glazing work </w:t>
            </w:r>
          </w:p>
          <w:p w:rsidR="00000000" w:rsidRPr="00D81CC7" w:rsidP="00D81CC7">
            <w:pPr>
              <w:pStyle w:val="BodyText"/>
            </w:pPr>
            <w:r w:rsidRPr="00D81CC7">
              <w:t xml:space="preserve">1.2 Identify and follow work health and safety requirements </w:t>
            </w:r>
          </w:p>
          <w:p w:rsidR="00000000" w:rsidRPr="00D81CC7" w:rsidP="00D81CC7">
            <w:pPr>
              <w:pStyle w:val="BodyText"/>
            </w:pPr>
            <w:r w:rsidRPr="00D81CC7">
              <w:t>1.3 Accurately record requirements in accordance with workplace procedures and requirements</w:t>
            </w:r>
          </w:p>
          <w:p w:rsidR="00000000" w:rsidP="00D81CC7">
            <w:pPr>
              <w:pStyle w:val="BodyText"/>
              <w:rPr>
                <w:lang w:val="en-NZ"/>
              </w:rPr>
            </w:pPr>
            <w:r w:rsidRPr="00D81CC7">
              <w:t>1.4 Ac</w:t>
            </w:r>
            <w:r w:rsidRPr="00D81CC7">
              <w:t>cess and review research materials relevant to the assessment</w:t>
            </w:r>
          </w:p>
        </w:tc>
      </w:tr>
      <w:tr w:rsidTr="001561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CC7">
            <w:pPr>
              <w:pStyle w:val="BodyText"/>
              <w:rPr>
                <w:lang w:val="en-NZ"/>
              </w:rPr>
            </w:pPr>
            <w:r w:rsidRPr="00D81CC7">
              <w:t>2. Conduct assessment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CC7" w:rsidP="00D81CC7">
            <w:pPr>
              <w:pStyle w:val="BodyText"/>
            </w:pPr>
            <w:r w:rsidRPr="00D81CC7">
              <w:t>2.1 Identify influencing factors and their significance, and determine impact on the end product</w:t>
            </w:r>
          </w:p>
          <w:p w:rsidR="00000000" w:rsidRPr="00D81CC7" w:rsidP="00D81CC7">
            <w:pPr>
              <w:pStyle w:val="BodyText"/>
            </w:pPr>
            <w:r w:rsidRPr="00D81CC7">
              <w:t xml:space="preserve">2.2 Identify products and/or types of glass and determine their </w:t>
            </w:r>
            <w:r w:rsidRPr="00D81CC7">
              <w:t>application</w:t>
            </w:r>
          </w:p>
          <w:p w:rsidR="00000000" w:rsidP="00D81CC7">
            <w:pPr>
              <w:pStyle w:val="BodyText"/>
              <w:rPr>
                <w:lang w:val="en-NZ"/>
              </w:rPr>
            </w:pPr>
            <w:r w:rsidRPr="00D81CC7">
              <w:t>2.3 Identify optimal solution and confirm specifications</w:t>
            </w:r>
          </w:p>
        </w:tc>
      </w:tr>
      <w:tr w:rsidTr="001561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CC7">
            <w:pPr>
              <w:pStyle w:val="BodyText"/>
              <w:rPr>
                <w:lang w:val="en-NZ"/>
              </w:rPr>
            </w:pPr>
            <w:r w:rsidRPr="00D81CC7">
              <w:t>3. Document outcomes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CC7" w:rsidP="00D81CC7">
            <w:pPr>
              <w:pStyle w:val="BodyText"/>
            </w:pPr>
            <w:r w:rsidRPr="00D81CC7">
              <w:t>3.1 Accurately document outcomes of assessment in accordance with workplace procedures</w:t>
            </w:r>
          </w:p>
          <w:p w:rsidR="00000000" w:rsidRPr="00D81CC7" w:rsidP="00D81CC7">
            <w:pPr>
              <w:pStyle w:val="BodyText"/>
            </w:pPr>
            <w:r w:rsidRPr="00D81CC7">
              <w:t>3.2 Use outcom</w:t>
            </w:r>
            <w:r w:rsidRPr="00D81CC7">
              <w:t>es to plan and complete work that meets all compliance requirements</w:t>
            </w:r>
          </w:p>
        </w:tc>
      </w:tr>
    </w:tbl>
    <w:p w:rsidR="00156133" w:rsidP="00D81CC7">
      <w:pPr>
        <w:pStyle w:val="BodyText"/>
      </w:pPr>
    </w:p>
    <w:p w:rsidR="00156133" w:rsidP="00D81CC7">
      <w:pPr>
        <w:pStyle w:val="BodyText"/>
      </w:pPr>
    </w:p>
    <w:p w:rsidR="00000000" w:rsidRPr="00D81CC7" w:rsidP="00D81CC7">
      <w:pPr>
        <w:pStyle w:val="Heading1"/>
      </w:pPr>
      <w:bookmarkStart w:id="6" w:name="O_1014792"/>
      <w:bookmarkEnd w:id="6"/>
      <w:r w:rsidRPr="00D81CC7">
        <w:t>Foundation Skills</w:t>
      </w:r>
    </w:p>
    <w:p w:rsidR="00000000" w:rsidRPr="00D81CC7" w:rsidP="00156133">
      <w:pPr>
        <w:pStyle w:val="BodyText"/>
      </w:pPr>
      <w:r w:rsidRPr="00D81CC7">
        <w:t>Foundation skills essential to performance are explicit in the performance criteria of this unit of competency.</w:t>
      </w:r>
    </w:p>
    <w:p w:rsidR="00000000" w:rsidRPr="00D81CC7" w:rsidP="00D81CC7">
      <w:pPr>
        <w:pStyle w:val="Heading1"/>
      </w:pPr>
      <w:bookmarkStart w:id="7" w:name="O_1014791"/>
      <w:bookmarkEnd w:id="7"/>
      <w:r w:rsidRPr="00D81CC7">
        <w:t>Unit Mapping Info</w:t>
      </w:r>
      <w:r w:rsidRPr="00D81CC7">
        <w:t>rmation</w:t>
      </w:r>
    </w:p>
    <w:p w:rsidR="00000000" w:rsidRPr="00D81CC7" w:rsidP="00156133">
      <w:pPr>
        <w:pStyle w:val="BodyText"/>
      </w:pPr>
      <w:r w:rsidRPr="00D81CC7">
        <w:t>Supersedes and is equivalent to MSFGG3002 Assess glass and glazing requirements.</w:t>
      </w:r>
    </w:p>
    <w:p w:rsidR="00000000" w:rsidRPr="00D81CC7" w:rsidP="00D81CC7">
      <w:pPr>
        <w:pStyle w:val="Heading1"/>
      </w:pPr>
      <w:bookmarkStart w:id="8" w:name="O_1014784"/>
      <w:bookmarkEnd w:id="8"/>
      <w:r w:rsidRPr="00D81CC7">
        <w:t>Links</w:t>
      </w:r>
    </w:p>
    <w:p w:rsidR="00000000" w:rsidRPr="00D81CC7" w:rsidP="00156133">
      <w:pPr>
        <w:pStyle w:val="BodyText"/>
      </w:pPr>
      <w:r w:rsidRPr="00D81CC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6868B4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D81CC7" w:rsidP="00156133">
      <w:pPr>
        <w:pStyle w:val="BodyText"/>
        <w:sectPr w:rsidSect="00D81CC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81CC7" w:rsidP="00D81CC7">
      <w:pPr>
        <w:pStyle w:val="SuperHeading"/>
      </w:pPr>
      <w:r w:rsidRPr="00D81CC7">
        <w:t>Assessment Requirements for MSFGG3029 Assess glass and glazing requirements</w:t>
      </w:r>
    </w:p>
    <w:p w:rsidR="00000000" w:rsidRPr="00D81CC7" w:rsidP="00D81CC7">
      <w:pPr>
        <w:pStyle w:val="Heading1"/>
      </w:pPr>
      <w:bookmarkStart w:id="9" w:name="O_1014786"/>
      <w:bookmarkEnd w:id="9"/>
      <w:r w:rsidRPr="00D81CC7">
        <w:t>Modification History</w:t>
      </w:r>
    </w:p>
    <w:p w:rsidR="00156133" w:rsidP="00156133">
      <w:pPr>
        <w:pStyle w:val="BodyText"/>
      </w:pPr>
      <w:r w:rsidRPr="00D81CC7">
        <w:t>Release 1. Supersedes and is equivalent to MSFGG3002 Assess glass and glazing requirements.</w:t>
      </w:r>
    </w:p>
    <w:p w:rsidR="00000000" w:rsidRPr="00D81CC7" w:rsidP="00D81CC7">
      <w:pPr>
        <w:pStyle w:val="Heading1"/>
      </w:pPr>
      <w:bookmarkStart w:id="10" w:name="O_1014789"/>
      <w:bookmarkEnd w:id="10"/>
      <w:r w:rsidRPr="00D81CC7">
        <w:t>Performance Evidence</w:t>
      </w:r>
    </w:p>
    <w:p w:rsidR="00000000" w:rsidRPr="00D81CC7" w:rsidP="00156133">
      <w:pPr>
        <w:pStyle w:val="BodyText"/>
      </w:pPr>
      <w:r w:rsidRPr="00D81CC7">
        <w:t>There must be evidence the candidate has completed the tasks outlined in the elements and performance criteria of this unit</w:t>
      </w:r>
      <w:r w:rsidRPr="00D81CC7">
        <w:t xml:space="preserve">, and: </w:t>
      </w:r>
    </w:p>
    <w:p w:rsidR="00000000" w:rsidRPr="00D81CC7" w:rsidP="00D81CC7">
      <w:pPr>
        <w:pStyle w:val="ListBullet"/>
      </w:pPr>
      <w:r w:rsidRPr="00D81CC7">
        <w:t>assessed glazing requirements and developed solutions that meet the requirements of Australian Standards AS 1288, AS 2208 and AS/NZS 4668 where requirements individually or cumulatively present situations that involve:</w:t>
      </w:r>
    </w:p>
    <w:p w:rsidR="00000000" w:rsidRPr="00D81CC7" w:rsidP="00D81CC7">
      <w:pPr>
        <w:pStyle w:val="ListBullet2"/>
      </w:pPr>
      <w:r w:rsidRPr="00D81CC7">
        <w:t xml:space="preserve">at least 4 different types </w:t>
      </w:r>
      <w:r w:rsidRPr="00D81CC7">
        <w:t>of glazing</w:t>
      </w:r>
    </w:p>
    <w:p w:rsidR="00000000" w:rsidRPr="00D81CC7" w:rsidP="00D81CC7">
      <w:pPr>
        <w:pStyle w:val="ListBullet2"/>
      </w:pPr>
      <w:r w:rsidRPr="00D81CC7">
        <w:t>safety glazing requirements, including thickness and materials limitations</w:t>
      </w:r>
    </w:p>
    <w:p w:rsidR="00000000" w:rsidRPr="00D81CC7" w:rsidP="00D81CC7">
      <w:pPr>
        <w:pStyle w:val="ListBullet2"/>
      </w:pPr>
      <w:r w:rsidRPr="00D81CC7">
        <w:t>impacts of human activity</w:t>
      </w:r>
    </w:p>
    <w:p w:rsidR="00000000" w:rsidRPr="00D81CC7" w:rsidP="00D81CC7">
      <w:pPr>
        <w:pStyle w:val="ListBullet2"/>
      </w:pPr>
      <w:r w:rsidRPr="00D81CC7">
        <w:t xml:space="preserve">wind loading requirements </w:t>
      </w:r>
    </w:p>
    <w:p w:rsidR="00000000" w:rsidRPr="00D81CC7" w:rsidP="00D81CC7">
      <w:pPr>
        <w:pStyle w:val="ListBullet2"/>
      </w:pPr>
      <w:r w:rsidRPr="00D81CC7">
        <w:t>installation parameters.</w:t>
      </w:r>
    </w:p>
    <w:p w:rsidR="00000000" w:rsidRPr="00D81CC7" w:rsidP="00D81CC7">
      <w:pPr>
        <w:pStyle w:val="AllowPageBreak"/>
      </w:pPr>
    </w:p>
    <w:p w:rsidR="00000000" w:rsidRPr="00D81CC7" w:rsidP="00D81CC7">
      <w:pPr>
        <w:pStyle w:val="Heading1"/>
      </w:pPr>
      <w:bookmarkStart w:id="11" w:name="O_1014788"/>
      <w:bookmarkEnd w:id="11"/>
      <w:r w:rsidRPr="00D81CC7">
        <w:t>Knowledge Evidence</w:t>
      </w:r>
    </w:p>
    <w:p w:rsidR="00000000" w:rsidRPr="00D81CC7" w:rsidP="00156133">
      <w:pPr>
        <w:pStyle w:val="BodyText"/>
      </w:pPr>
      <w:r w:rsidRPr="00D81CC7">
        <w:t xml:space="preserve">There must be evidence the candidate has knowledge of: </w:t>
      </w:r>
    </w:p>
    <w:p w:rsidR="00000000" w:rsidRPr="00D81CC7" w:rsidP="00D81CC7">
      <w:pPr>
        <w:pStyle w:val="ListBullet"/>
      </w:pPr>
      <w:r w:rsidRPr="00D81CC7">
        <w:t>Australian Standards, their purpose and key provisions:</w:t>
      </w:r>
    </w:p>
    <w:p w:rsidR="00000000" w:rsidRPr="00D81CC7" w:rsidP="00D81CC7">
      <w:pPr>
        <w:pStyle w:val="ListBullet2"/>
      </w:pPr>
      <w:r w:rsidRPr="00D81CC7">
        <w:t>AS 1288 (sections 1, 4, 5 and 8 plus overview of 6,7 and 9)</w:t>
      </w:r>
    </w:p>
    <w:p w:rsidR="00000000" w:rsidRPr="00D81CC7" w:rsidP="00D81CC7">
      <w:pPr>
        <w:pStyle w:val="ListBullet2"/>
      </w:pPr>
      <w:r w:rsidRPr="00D81CC7">
        <w:t>AS/NZS 2208 (overview all sections)</w:t>
      </w:r>
    </w:p>
    <w:p w:rsidR="00000000" w:rsidRPr="00D81CC7" w:rsidP="00D81CC7">
      <w:pPr>
        <w:pStyle w:val="ListBullet2"/>
      </w:pPr>
      <w:r w:rsidRPr="00D81CC7">
        <w:t>AS/NZS 4667 (overview all sections)</w:t>
      </w:r>
    </w:p>
    <w:p w:rsidR="00000000" w:rsidRPr="00D81CC7" w:rsidP="00D81CC7">
      <w:pPr>
        <w:pStyle w:val="ListBullet"/>
      </w:pPr>
      <w:r w:rsidRPr="00D81CC7">
        <w:t>mathemati</w:t>
      </w:r>
      <w:r w:rsidRPr="00D81CC7">
        <w:t>cal procedures for estimation and measurement</w:t>
      </w:r>
    </w:p>
    <w:p w:rsidR="00000000" w:rsidRPr="00D81CC7" w:rsidP="00D81CC7">
      <w:pPr>
        <w:pStyle w:val="ListBullet"/>
      </w:pPr>
      <w:r w:rsidRPr="00D81CC7">
        <w:t>the assessment process and factors that influence assessment, including impacts of:</w:t>
      </w:r>
    </w:p>
    <w:p w:rsidR="00000000" w:rsidRPr="00D81CC7" w:rsidP="00D81CC7">
      <w:pPr>
        <w:pStyle w:val="ListBullet2"/>
      </w:pPr>
      <w:r w:rsidRPr="00D81CC7">
        <w:t>wind</w:t>
      </w:r>
    </w:p>
    <w:p w:rsidR="00000000" w:rsidRPr="00D81CC7" w:rsidP="00D81CC7">
      <w:pPr>
        <w:pStyle w:val="ListBullet2"/>
      </w:pPr>
      <w:r w:rsidRPr="00D81CC7">
        <w:t>humans</w:t>
      </w:r>
    </w:p>
    <w:p w:rsidR="00156133" w:rsidP="00D81CC7">
      <w:pPr>
        <w:pStyle w:val="ListBullet"/>
      </w:pPr>
      <w:r w:rsidRPr="00D81CC7">
        <w:t>formats and required inclusions for glass and glazing work orders.</w:t>
      </w:r>
    </w:p>
    <w:p w:rsidR="00156133" w:rsidP="00D81CC7">
      <w:pPr>
        <w:pStyle w:val="ListBullet"/>
      </w:pPr>
    </w:p>
    <w:p w:rsidR="00000000" w:rsidRPr="00D81CC7" w:rsidP="00D81CC7">
      <w:pPr>
        <w:pStyle w:val="Heading1"/>
      </w:pPr>
      <w:bookmarkStart w:id="12" w:name="O_1014787"/>
      <w:bookmarkEnd w:id="12"/>
      <w:r w:rsidRPr="00D81CC7">
        <w:t>Assessment Conditions</w:t>
      </w:r>
    </w:p>
    <w:p w:rsidR="00000000" w:rsidRPr="00D81CC7" w:rsidP="00156133">
      <w:pPr>
        <w:pStyle w:val="BodyText"/>
      </w:pPr>
      <w:r w:rsidRPr="00D81CC7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D81CC7" w:rsidP="00D81CC7">
      <w:pPr>
        <w:pStyle w:val="ListBullet"/>
      </w:pPr>
      <w:r w:rsidRPr="00D81CC7">
        <w:t xml:space="preserve">use of suitable facilities, equipment and resources, including: </w:t>
      </w:r>
    </w:p>
    <w:p w:rsidR="00000000" w:rsidRPr="00D81CC7" w:rsidP="00D81CC7">
      <w:pPr>
        <w:pStyle w:val="ListBullet2"/>
      </w:pPr>
      <w:r w:rsidRPr="00D81CC7">
        <w:t>product information</w:t>
      </w:r>
    </w:p>
    <w:p w:rsidR="00000000" w:rsidRPr="00D81CC7" w:rsidP="00D81CC7">
      <w:pPr>
        <w:pStyle w:val="ListBullet2"/>
      </w:pPr>
      <w:r w:rsidRPr="00D81CC7">
        <w:t>AS/NZS documentation as detailed in the Knowledge Evidence</w:t>
      </w:r>
    </w:p>
    <w:p w:rsidR="00000000" w:rsidRPr="00D81CC7" w:rsidP="00D81CC7">
      <w:pPr>
        <w:pStyle w:val="ListBullet2"/>
      </w:pPr>
      <w:r w:rsidRPr="00D81CC7">
        <w:t xml:space="preserve">customer requirements </w:t>
      </w:r>
    </w:p>
    <w:p w:rsidR="00000000" w:rsidRPr="00D81CC7" w:rsidP="00D81CC7">
      <w:pPr>
        <w:pStyle w:val="ListBullet2"/>
      </w:pPr>
      <w:r w:rsidRPr="00D81CC7">
        <w:t>workplace procedures.</w:t>
      </w:r>
    </w:p>
    <w:p w:rsidR="00156133" w:rsidP="00156133">
      <w:pPr>
        <w:pStyle w:val="BodyText"/>
      </w:pPr>
      <w:r w:rsidRPr="00D81CC7">
        <w:t>Assessors must satisfy the NVR/AQTF mandatory competency requirements for assessors.</w:t>
      </w:r>
    </w:p>
    <w:p w:rsidR="00000000" w:rsidRPr="00D81CC7" w:rsidP="00D81CC7">
      <w:pPr>
        <w:pStyle w:val="Heading1"/>
      </w:pPr>
      <w:bookmarkStart w:id="13" w:name="O_1014785"/>
      <w:bookmarkEnd w:id="13"/>
      <w:r w:rsidRPr="00D81CC7">
        <w:t>Links</w:t>
      </w:r>
    </w:p>
    <w:p w:rsidR="00000000" w:rsidRPr="00D81CC7" w:rsidP="00156133">
      <w:pPr>
        <w:pStyle w:val="BodyText"/>
      </w:pPr>
      <w:r w:rsidRPr="00D81CC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6868B4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D81CC7" w:rsidP="00D81CC7"/>
    <w:sectPr w:rsidSect="00D81CC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C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CC7" w:rsidRPr="00156133" w:rsidP="001561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C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133" w:rsidP="00D81C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56133" w:rsidP="00D81C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56133" w:rsidP="00D81CC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CC7" w:rsidP="00D81C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56133">
      <w:t>Approved</w:t>
    </w:r>
    <w:r w:rsidR="0015613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5613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56133">
      <w:rPr>
        <w:noProof/>
      </w:rPr>
      <w:t>4</w:t>
    </w:r>
    <w:r>
      <w:rPr>
        <w:noProof/>
      </w:rPr>
      <w:fldChar w:fldCharType="end"/>
    </w:r>
  </w:p>
  <w:p w:rsidR="00D81CC7" w:rsidP="00D81C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5613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56133">
      <w:t>Skills Insight</w:t>
    </w:r>
    <w:r w:rsidR="00156133">
      <w:fldChar w:fldCharType="end"/>
    </w:r>
  </w:p>
  <w:p w:rsidR="00D81CC7" w:rsidP="00D81C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C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1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1CC7" w:rsidRPr="00156133" w:rsidP="001561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C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133" w:rsidRPr="002D2AF8" w:rsidP="00D81C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MSFGG3029 Assess glass and glazing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56133" w:rsidP="00D81CC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CC7" w:rsidRPr="002D2AF8" w:rsidP="00D81C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56133">
      <w:t>MSFGG3029 Assess glass and glazing requirements</w:t>
    </w:r>
    <w:r w:rsidR="0015613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56133">
      <w:rPr>
        <w:noProof/>
      </w:rPr>
      <w:t>1 March 2025</w:t>
    </w:r>
    <w:r>
      <w:fldChar w:fldCharType="end"/>
    </w:r>
  </w:p>
  <w:p w:rsidR="00D81CC7" w:rsidP="00D81C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8B441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D14E8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87ACC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C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1C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1C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1C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1C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1C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1C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1C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1C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1C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1C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1CC7"/>
  </w:style>
  <w:style w:type="character" w:customStyle="1" w:styleId="Heading1Char">
    <w:name w:val="Heading 1 Char"/>
    <w:basedOn w:val="DefaultParagraphFont"/>
    <w:link w:val="Heading1"/>
    <w:rsid w:val="00D81C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1C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1C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1CC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81CC7"/>
    <w:rPr>
      <w:b/>
      <w:spacing w:val="0"/>
    </w:rPr>
  </w:style>
  <w:style w:type="paragraph" w:styleId="ListBullet2">
    <w:name w:val="List Bullet 2"/>
    <w:basedOn w:val="List2"/>
    <w:rsid w:val="00D81CC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81CC7"/>
    <w:rPr>
      <w:i/>
    </w:rPr>
  </w:style>
  <w:style w:type="paragraph" w:customStyle="1" w:styleId="SuperHeading">
    <w:name w:val="SuperHeading"/>
    <w:basedOn w:val="Normal"/>
    <w:rsid w:val="00D81C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1C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81C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1C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1C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1C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1C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1C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1C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1C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1C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1C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1C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1C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1C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1C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1C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1C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1C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1C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1C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1C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1C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1C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1C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81C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1C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1C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1C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1C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1C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1C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1C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1CC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81C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1C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1C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1CC7"/>
  </w:style>
  <w:style w:type="paragraph" w:styleId="TableofFigures">
    <w:name w:val="table of figures"/>
    <w:basedOn w:val="Normal"/>
    <w:next w:val="Normal"/>
    <w:semiHidden/>
    <w:rsid w:val="00D81C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1CC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81CC7"/>
    <w:rPr>
      <w:rFonts w:ascii="Wingdings" w:hAnsi="Wingdings"/>
    </w:rPr>
  </w:style>
  <w:style w:type="paragraph" w:customStyle="1" w:styleId="TableHeading">
    <w:name w:val="Table Heading"/>
    <w:basedOn w:val="HeadingBase"/>
    <w:rsid w:val="00D81C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1CC7"/>
    <w:rPr>
      <w:color w:val="0033CC"/>
      <w:u w:val="none"/>
    </w:rPr>
  </w:style>
  <w:style w:type="paragraph" w:customStyle="1" w:styleId="BodyTextRight">
    <w:name w:val="Body Text Right"/>
    <w:basedOn w:val="BodyText"/>
    <w:rsid w:val="00D81C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1C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1CC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1C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1C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1C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1CC7"/>
    <w:rPr>
      <w:sz w:val="32"/>
    </w:rPr>
  </w:style>
  <w:style w:type="paragraph" w:customStyle="1" w:styleId="HeadingProcedure">
    <w:name w:val="Heading Procedure"/>
    <w:basedOn w:val="HeadingBase"/>
    <w:next w:val="Normal"/>
    <w:rsid w:val="00D81C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1CC7"/>
    <w:pPr>
      <w:spacing w:before="60" w:after="60"/>
    </w:pPr>
  </w:style>
  <w:style w:type="paragraph" w:styleId="ListContinue">
    <w:name w:val="List Continue"/>
    <w:basedOn w:val="List"/>
    <w:rsid w:val="00D81CC7"/>
    <w:pPr>
      <w:ind w:firstLine="0"/>
    </w:pPr>
  </w:style>
  <w:style w:type="paragraph" w:customStyle="1" w:styleId="ListNote">
    <w:name w:val="List Note"/>
    <w:basedOn w:val="List"/>
    <w:rsid w:val="00D81C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1C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1C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1CC7"/>
    <w:rPr>
      <w:rFonts w:ascii="Courier New" w:hAnsi="Courier New"/>
    </w:rPr>
  </w:style>
  <w:style w:type="paragraph" w:customStyle="1" w:styleId="NoteBullet">
    <w:name w:val="Note Bullet"/>
    <w:basedOn w:val="Note"/>
    <w:rsid w:val="00D81C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1C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1C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1C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1CC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81C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1C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1CC7"/>
    <w:rPr>
      <w:b/>
      <w:smallCaps/>
    </w:rPr>
  </w:style>
  <w:style w:type="paragraph" w:customStyle="1" w:styleId="TableListNumber">
    <w:name w:val="Table List Number"/>
    <w:basedOn w:val="ListNumber"/>
    <w:rsid w:val="00D81C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1C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1CC7"/>
    <w:pPr>
      <w:numPr>
        <w:numId w:val="9"/>
      </w:numPr>
    </w:pPr>
  </w:style>
  <w:style w:type="paragraph" w:customStyle="1" w:styleId="ListAlpha2">
    <w:name w:val="List Alpha 2"/>
    <w:basedOn w:val="List2"/>
    <w:rsid w:val="00D81CC7"/>
    <w:pPr>
      <w:numPr>
        <w:numId w:val="8"/>
      </w:numPr>
    </w:pPr>
  </w:style>
  <w:style w:type="paragraph" w:styleId="List2">
    <w:name w:val="List 2"/>
    <w:basedOn w:val="BodyText"/>
    <w:rsid w:val="00D81C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1C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1C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1C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1CC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1CC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81CC7"/>
    <w:pPr>
      <w:numPr>
        <w:numId w:val="4"/>
      </w:numPr>
    </w:pPr>
  </w:style>
  <w:style w:type="paragraph" w:styleId="ListContinue2">
    <w:name w:val="List Continue 2"/>
    <w:basedOn w:val="List2"/>
    <w:rsid w:val="00D81CC7"/>
    <w:pPr>
      <w:ind w:firstLine="0"/>
    </w:pPr>
  </w:style>
  <w:style w:type="paragraph" w:styleId="ListContinue3">
    <w:name w:val="List Continue 3"/>
    <w:basedOn w:val="List3"/>
    <w:rsid w:val="00D81CC7"/>
    <w:pPr>
      <w:ind w:left="1021" w:firstLine="0"/>
    </w:pPr>
  </w:style>
  <w:style w:type="paragraph" w:styleId="ListContinue4">
    <w:name w:val="List Continue 4"/>
    <w:basedOn w:val="List4"/>
    <w:rsid w:val="00D81CC7"/>
    <w:pPr>
      <w:ind w:firstLine="0"/>
    </w:pPr>
  </w:style>
  <w:style w:type="paragraph" w:styleId="ListContinue5">
    <w:name w:val="List Continue 5"/>
    <w:basedOn w:val="List5"/>
    <w:rsid w:val="00D81CC7"/>
    <w:pPr>
      <w:ind w:firstLine="0"/>
    </w:pPr>
  </w:style>
  <w:style w:type="paragraph" w:styleId="ListNumber3">
    <w:name w:val="List Number 3"/>
    <w:basedOn w:val="List3"/>
    <w:rsid w:val="00D81CC7"/>
    <w:pPr>
      <w:numPr>
        <w:numId w:val="5"/>
      </w:numPr>
    </w:pPr>
  </w:style>
  <w:style w:type="paragraph" w:styleId="ListNumber4">
    <w:name w:val="List Number 4"/>
    <w:basedOn w:val="List4"/>
    <w:rsid w:val="00D81CC7"/>
    <w:pPr>
      <w:numPr>
        <w:numId w:val="6"/>
      </w:numPr>
    </w:pPr>
  </w:style>
  <w:style w:type="paragraph" w:styleId="ListNumber5">
    <w:name w:val="List Number 5"/>
    <w:basedOn w:val="List5"/>
    <w:rsid w:val="00D81CC7"/>
    <w:pPr>
      <w:numPr>
        <w:numId w:val="7"/>
      </w:numPr>
    </w:pPr>
  </w:style>
  <w:style w:type="paragraph" w:styleId="BlockText">
    <w:name w:val="Block Text"/>
    <w:basedOn w:val="Normal"/>
    <w:rsid w:val="00D81C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1C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1CC7"/>
    <w:rPr>
      <w:sz w:val="16"/>
      <w:vertAlign w:val="superscript"/>
    </w:rPr>
  </w:style>
  <w:style w:type="character" w:customStyle="1" w:styleId="Symbols">
    <w:name w:val="Symbols"/>
    <w:basedOn w:val="DefaultParagraphFont"/>
    <w:rsid w:val="00D81CC7"/>
    <w:rPr>
      <w:rFonts w:ascii="Symbol" w:hAnsi="Symbol"/>
    </w:rPr>
  </w:style>
  <w:style w:type="character" w:customStyle="1" w:styleId="MenuOptions">
    <w:name w:val="Menu Options"/>
    <w:basedOn w:val="DefaultParagraphFont"/>
    <w:rsid w:val="00D81C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1CC7"/>
    <w:rPr>
      <w:b/>
    </w:rPr>
  </w:style>
  <w:style w:type="character" w:customStyle="1" w:styleId="Underlined">
    <w:name w:val="Underlined"/>
    <w:basedOn w:val="DefaultParagraphFont"/>
    <w:rsid w:val="00D81CC7"/>
    <w:rPr>
      <w:u w:val="single"/>
    </w:rPr>
  </w:style>
  <w:style w:type="paragraph" w:customStyle="1" w:styleId="TableBodyTextRight">
    <w:name w:val="Table Body Text Right"/>
    <w:basedOn w:val="TableBodyText"/>
    <w:rsid w:val="00D81C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1CC7"/>
    <w:rPr>
      <w:sz w:val="18"/>
    </w:rPr>
  </w:style>
  <w:style w:type="paragraph" w:customStyle="1" w:styleId="BodySmallRight">
    <w:name w:val="Body Small Right"/>
    <w:basedOn w:val="BodyTextRight"/>
    <w:rsid w:val="00D81CC7"/>
    <w:rPr>
      <w:sz w:val="18"/>
      <w:szCs w:val="18"/>
    </w:rPr>
  </w:style>
  <w:style w:type="paragraph" w:customStyle="1" w:styleId="MarginEdition">
    <w:name w:val="Margin Edition"/>
    <w:basedOn w:val="MarginNote"/>
    <w:rsid w:val="00D81C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1CC7"/>
    <w:rPr>
      <w:sz w:val="2"/>
      <w:szCs w:val="2"/>
    </w:rPr>
  </w:style>
  <w:style w:type="character" w:customStyle="1" w:styleId="Small">
    <w:name w:val="Small"/>
    <w:basedOn w:val="DefaultParagraphFont"/>
    <w:rsid w:val="00D81CC7"/>
    <w:rPr>
      <w:sz w:val="16"/>
    </w:rPr>
  </w:style>
  <w:style w:type="paragraph" w:customStyle="1" w:styleId="WideTable">
    <w:name w:val="Wide Table"/>
    <w:basedOn w:val="Normal"/>
    <w:rsid w:val="00D81C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1CC7"/>
  </w:style>
  <w:style w:type="paragraph" w:styleId="Quote">
    <w:name w:val="Quote"/>
    <w:basedOn w:val="Heading1"/>
    <w:link w:val="QuoteChar"/>
    <w:qFormat/>
    <w:rsid w:val="00D81C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1C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1CC7"/>
    <w:pPr>
      <w:pageBreakBefore/>
    </w:pPr>
  </w:style>
  <w:style w:type="paragraph" w:customStyle="1" w:styleId="Border">
    <w:name w:val="Border"/>
    <w:basedOn w:val="Normal"/>
    <w:qFormat/>
    <w:rsid w:val="00D81C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1C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1C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1C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1C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1C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1C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1C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1C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1CC7"/>
    <w:rPr>
      <w:u w:val="single"/>
    </w:rPr>
  </w:style>
  <w:style w:type="character" w:customStyle="1" w:styleId="BoldandItalics">
    <w:name w:val="Bold and Italics"/>
    <w:qFormat/>
    <w:rsid w:val="00D81CC7"/>
    <w:rPr>
      <w:b/>
      <w:i/>
      <w:u w:val="none"/>
    </w:rPr>
  </w:style>
  <w:style w:type="paragraph" w:styleId="BalloonText">
    <w:name w:val="Balloon Text"/>
    <w:basedOn w:val="Normal"/>
    <w:link w:val="BalloonTextChar"/>
    <w:rsid w:val="00D81C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1C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1C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1C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1C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1C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1CC7"/>
    <w:pPr>
      <w:spacing w:before="0" w:after="0"/>
    </w:pPr>
  </w:style>
  <w:style w:type="paragraph" w:customStyle="1" w:styleId="BodyTextBold">
    <w:name w:val="Body Text Bold"/>
    <w:basedOn w:val="BodyText"/>
    <w:qFormat/>
    <w:rsid w:val="00D81CC7"/>
    <w:rPr>
      <w:b/>
    </w:rPr>
  </w:style>
  <w:style w:type="character" w:styleId="Hyperlink">
    <w:name w:val="Hyperlink"/>
    <w:basedOn w:val="DefaultParagraphFont"/>
    <w:uiPriority w:val="99"/>
    <w:unhideWhenUsed/>
    <w:rsid w:val="001561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561</Words>
  <Characters>3762</Characters>
  <Application>Microsoft Office Word</Application>
  <DocSecurity>0</DocSecurity>
  <Lines>117</Lines>
  <Paragraphs>83</Paragraphs>
  <ScaleCrop>false</ScaleCrop>
  <Company>Author-it Software Corporation Ltd.</Company>
  <LinksUpToDate>false</LinksUpToDate>
  <CharactersWithSpaces>4240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MSFGG3029 Assess glass and glazing requirements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2025-03-01T10:30:00Z</dcterms:created>
  <dcterms:modified xsi:type="dcterms:W3CDTF">2025-03-01T10:30:00Z</dcterms:modified>
</cp:coreProperties>
</file>