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482" w:rsidP="00D914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MSFGG3022 Construct and repair leadlight panels</w:t>
      </w:r>
      <w:r>
        <w:fldChar w:fldCharType="end"/>
      </w:r>
    </w:p>
    <w:p w:rsidR="00D91482" w:rsidP="00D91482">
      <w:pPr>
        <w:pStyle w:val="Version"/>
        <w:sectPr w:rsidSect="00F90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801" w:rsidP="00F90801">
      <w:pPr>
        <w:pStyle w:val="SuperHeading"/>
      </w:pPr>
      <w:r w:rsidRPr="00F90801">
        <w:t>MSFGG3022 Construct and repair leadlight panels</w:t>
      </w:r>
    </w:p>
    <w:p w:rsidR="00000000" w:rsidRPr="00F90801" w:rsidP="00F90801">
      <w:pPr>
        <w:pStyle w:val="Heading1"/>
      </w:pPr>
      <w:bookmarkStart w:id="1" w:name="O_1014616"/>
      <w:bookmarkEnd w:id="1"/>
      <w:r w:rsidRPr="00F90801">
        <w:t>Modification History</w:t>
      </w:r>
    </w:p>
    <w:p w:rsidR="00000000" w:rsidRPr="00F90801" w:rsidP="00D91482">
      <w:pPr>
        <w:pStyle w:val="BodyText"/>
      </w:pPr>
      <w:r w:rsidRPr="00F90801">
        <w:t>Release 1. Supersedes and is equivalent to MSFGG3014 Construct and repair leadlight panels.</w:t>
      </w:r>
    </w:p>
    <w:p w:rsidR="00000000" w:rsidRPr="00F90801" w:rsidP="00F90801">
      <w:pPr>
        <w:pStyle w:val="Heading1"/>
      </w:pPr>
      <w:bookmarkStart w:id="2" w:name="O_1014622"/>
      <w:bookmarkEnd w:id="2"/>
      <w:r w:rsidRPr="00F90801">
        <w:t>Application</w:t>
      </w:r>
    </w:p>
    <w:p w:rsidR="00000000" w:rsidRPr="00F90801" w:rsidP="00D91482">
      <w:pPr>
        <w:pStyle w:val="BodyText"/>
      </w:pPr>
      <w:r w:rsidRPr="00F90801">
        <w:t xml:space="preserve">This unit describes the skills and knowledge required to construct and repair leadlight panels and may </w:t>
      </w:r>
      <w:r w:rsidRPr="00F90801">
        <w:t xml:space="preserve">involve restoration and conservation of historically important lead lighting works. It includes measuring, design and selection of materials and tools, and disassembly and assembly, weatherproofing and polishing of leadlight panels. </w:t>
      </w:r>
    </w:p>
    <w:p w:rsidR="00000000" w:rsidRPr="00F90801" w:rsidP="00D91482">
      <w:pPr>
        <w:pStyle w:val="BodyText"/>
      </w:pPr>
      <w:r w:rsidRPr="00F90801">
        <w:t>This unit applies to i</w:t>
      </w:r>
      <w:r w:rsidRPr="00F90801">
        <w:t>ndividuals working with designed glass.</w:t>
      </w:r>
    </w:p>
    <w:p w:rsidR="00D91482" w:rsidP="00D91482">
      <w:pPr>
        <w:pStyle w:val="BodyText"/>
      </w:pPr>
      <w:r w:rsidRPr="00F90801">
        <w:t>No licensing or certification requirements exist at the time of publication. Relevant legislation, industry standards and codes of practice within Australia must be applied.</w:t>
      </w:r>
    </w:p>
    <w:p w:rsidR="00000000" w:rsidRPr="00F90801" w:rsidP="00F90801">
      <w:pPr>
        <w:pStyle w:val="Heading1"/>
      </w:pPr>
      <w:bookmarkStart w:id="3" w:name="O_1014621"/>
      <w:bookmarkEnd w:id="3"/>
      <w:r w:rsidRPr="00F90801">
        <w:t>Pre-requisite Unit</w:t>
      </w:r>
    </w:p>
    <w:p w:rsidR="00000000" w:rsidRPr="00F90801" w:rsidP="00D91482">
      <w:pPr>
        <w:pStyle w:val="BodyText"/>
      </w:pPr>
      <w:r w:rsidRPr="00F90801">
        <w:t>N/A</w:t>
      </w:r>
    </w:p>
    <w:p w:rsidR="00000000" w:rsidRPr="00F90801" w:rsidP="00F90801">
      <w:pPr>
        <w:pStyle w:val="Heading1"/>
      </w:pPr>
      <w:bookmarkStart w:id="4" w:name="O_1014620"/>
      <w:bookmarkEnd w:id="4"/>
      <w:r w:rsidRPr="00F90801">
        <w:t>Unit Sector</w:t>
      </w:r>
    </w:p>
    <w:p w:rsidR="00000000" w:rsidRPr="00F90801" w:rsidP="00D91482">
      <w:pPr>
        <w:pStyle w:val="BodyText"/>
      </w:pPr>
      <w:r w:rsidRPr="00F90801">
        <w:t>Glass and glazing</w:t>
      </w:r>
    </w:p>
    <w:p w:rsidR="00000000" w:rsidRPr="00F90801" w:rsidP="00F90801">
      <w:pPr>
        <w:pStyle w:val="Heading1"/>
      </w:pPr>
      <w:bookmarkStart w:id="5" w:name="O_1014619"/>
      <w:bookmarkEnd w:id="5"/>
      <w:r w:rsidRPr="00F908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rPr>
                <w:rStyle w:val="SpecialBold"/>
              </w:rPr>
              <w:t>Performance Criteria</w:t>
            </w:r>
          </w:p>
        </w:tc>
      </w:tr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rPr>
                <w:rStyle w:val="Emphasis"/>
              </w:rPr>
              <w:t xml:space="preserve">Elements describe the </w:t>
            </w:r>
            <w:r w:rsidRPr="00F90801">
              <w:t xml:space="preserve">essential </w:t>
            </w:r>
            <w:r w:rsidRPr="00F90801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t>1.1 Establish safety, quality and functional performance requirements of the panel</w:t>
            </w:r>
          </w:p>
          <w:p w:rsidR="00000000" w:rsidRPr="00F90801" w:rsidP="00F90801">
            <w:pPr>
              <w:pStyle w:val="BodyText"/>
            </w:pPr>
            <w:r w:rsidRPr="00F90801">
              <w:t>1.2 Recognise and respond to the need for rese</w:t>
            </w:r>
            <w:r w:rsidRPr="00F90801">
              <w:t xml:space="preserve">arch on the historical importance of the panel </w:t>
            </w:r>
          </w:p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1.3 Inspect leadlight panel to be repaired to identify faults and compare any faults found with customer requirements and any previously identified faults</w:t>
            </w:r>
          </w:p>
        </w:tc>
      </w:tr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 xml:space="preserve">2. Plan leadlight panel </w:t>
            </w:r>
            <w:r w:rsidRPr="00F90801">
              <w:t>construction/repair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t xml:space="preserve">2.1 Analyse plan or design of leadlight panel to identify work </w:t>
            </w:r>
            <w:r w:rsidRPr="00F90801">
              <w:t>requirements, methods and specifications</w:t>
            </w:r>
          </w:p>
          <w:p w:rsidR="00000000" w:rsidRPr="00F90801" w:rsidP="00F90801">
            <w:pPr>
              <w:pStyle w:val="BodyText"/>
            </w:pPr>
            <w:r w:rsidRPr="00F90801">
              <w:t>2.2 Identify and follow work health and safety requirements</w:t>
            </w:r>
          </w:p>
          <w:p w:rsidR="00000000" w:rsidRPr="00F90801" w:rsidP="00F90801">
            <w:pPr>
              <w:pStyle w:val="BodyText"/>
            </w:pPr>
            <w:r w:rsidRPr="00F90801">
              <w:t>2.3 Plan steps or stages in construction and/or repair, noting check points for required mea</w:t>
            </w:r>
            <w:r w:rsidRPr="00F90801">
              <w:t>surements and tests</w:t>
            </w:r>
          </w:p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2.4 Obtain approval of work construction plan in accordance with workplace procedures</w:t>
            </w:r>
          </w:p>
        </w:tc>
      </w:tr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3. Identify suitable materials and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t xml:space="preserve">3.1 Select and check tools and equipment for suitability, serviceability and safety prior to use </w:t>
            </w:r>
          </w:p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3.2 Se</w:t>
            </w:r>
            <w:r w:rsidRPr="00F90801">
              <w:t>lect leadlight construction materials according to specification, matching the original texture, colour, thickness and opacity of the stained glass</w:t>
            </w:r>
          </w:p>
        </w:tc>
      </w:tr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4. Construct/repair the leadlight panel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t xml:space="preserve">4.1 Follow plan to construct and/or repair the leadlight panel </w:t>
            </w:r>
          </w:p>
          <w:p w:rsidR="00000000" w:rsidRPr="00F90801" w:rsidP="00F90801">
            <w:pPr>
              <w:pStyle w:val="BodyText"/>
            </w:pPr>
            <w:r w:rsidRPr="00F90801">
              <w:t>4.2</w:t>
            </w:r>
            <w:r w:rsidRPr="00F90801">
              <w:t xml:space="preserve"> Conduct checks at the identified points</w:t>
            </w:r>
          </w:p>
          <w:p w:rsidR="00000000" w:rsidRPr="00F90801" w:rsidP="00F90801">
            <w:pPr>
              <w:pStyle w:val="BodyText"/>
            </w:pPr>
            <w:r w:rsidRPr="00F90801">
              <w:t>4.3 Identify and recommend modifications within workplace procedures</w:t>
            </w:r>
          </w:p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4.4 Document modifications to the plan and seek appropriate approvals in accordance with workplace procedures</w:t>
            </w:r>
          </w:p>
        </w:tc>
      </w:tr>
      <w:tr w:rsidTr="00D914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801">
            <w:pPr>
              <w:pStyle w:val="BodyText"/>
              <w:rPr>
                <w:lang w:val="en-NZ"/>
              </w:rPr>
            </w:pPr>
            <w:r w:rsidRPr="00F90801">
              <w:t>5.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801" w:rsidP="00F90801">
            <w:pPr>
              <w:pStyle w:val="BodyText"/>
            </w:pPr>
            <w:r w:rsidRPr="00F90801">
              <w:t>5.1 Inspect leadli</w:t>
            </w:r>
            <w:r w:rsidRPr="00F90801">
              <w:t>ght panel for quality of work and repair or reconstruct in accordance with workplace procedures</w:t>
            </w:r>
          </w:p>
          <w:p w:rsidR="00000000" w:rsidRPr="00F90801" w:rsidP="00F90801">
            <w:pPr>
              <w:pStyle w:val="BodyText"/>
            </w:pPr>
            <w:r w:rsidRPr="00F90801">
              <w:t>5.2 Clean and store tools, equipment and materials in accordance with workplace procedures</w:t>
            </w:r>
          </w:p>
          <w:p w:rsidR="00000000" w:rsidRPr="00F90801" w:rsidP="00F90801">
            <w:pPr>
              <w:pStyle w:val="BodyText"/>
            </w:pPr>
            <w:r w:rsidRPr="00F90801">
              <w:t>5.3 Clean work area and leave in a safe condition, and dispose or rec</w:t>
            </w:r>
            <w:r w:rsidRPr="00F90801">
              <w:t>ycle waste in accordance with workplace protocols</w:t>
            </w:r>
          </w:p>
          <w:p w:rsidR="00000000" w:rsidRPr="00F90801" w:rsidP="00F90801">
            <w:pPr>
              <w:pStyle w:val="BodyText"/>
            </w:pPr>
            <w:r w:rsidRPr="00F90801">
              <w:t>5.4 Accurately complete required workplace documentation</w:t>
            </w:r>
          </w:p>
        </w:tc>
      </w:tr>
    </w:tbl>
    <w:p w:rsidR="00D91482" w:rsidP="00F90801">
      <w:pPr>
        <w:pStyle w:val="BodyText"/>
      </w:pPr>
    </w:p>
    <w:p w:rsidR="00D91482" w:rsidP="00F90801">
      <w:pPr>
        <w:pStyle w:val="BodyText"/>
      </w:pPr>
    </w:p>
    <w:p w:rsidR="00000000" w:rsidRPr="00F90801" w:rsidP="00F90801">
      <w:pPr>
        <w:pStyle w:val="Heading1"/>
      </w:pPr>
      <w:bookmarkStart w:id="6" w:name="O_1014618"/>
      <w:bookmarkEnd w:id="6"/>
      <w:r w:rsidRPr="00F90801">
        <w:t>Foundation Skills</w:t>
      </w:r>
    </w:p>
    <w:p w:rsidR="00000000" w:rsidRPr="00F90801" w:rsidP="00D91482">
      <w:pPr>
        <w:pStyle w:val="BodyText"/>
      </w:pPr>
      <w:r w:rsidRPr="00F90801">
        <w:t>Foundation skills essential to performance are explicit in the performance criteria of this unit of competency.</w:t>
      </w:r>
    </w:p>
    <w:p w:rsidR="00000000" w:rsidRPr="00F90801" w:rsidP="00F90801">
      <w:pPr>
        <w:pStyle w:val="Heading1"/>
      </w:pPr>
      <w:bookmarkStart w:id="7" w:name="O_1014617"/>
      <w:bookmarkEnd w:id="7"/>
      <w:r w:rsidRPr="00F90801">
        <w:t>Unit Mapping Information</w:t>
      </w:r>
    </w:p>
    <w:p w:rsidR="00000000" w:rsidRPr="00F90801" w:rsidP="00D91482">
      <w:pPr>
        <w:pStyle w:val="BodyText"/>
      </w:pPr>
      <w:r w:rsidRPr="00F90801">
        <w:t>Supersedes and is equivalent to MSFGG3014 Construct and repair leadlight panels.</w:t>
      </w:r>
    </w:p>
    <w:p w:rsidR="00000000" w:rsidRPr="00F90801" w:rsidP="00F90801">
      <w:pPr>
        <w:pStyle w:val="Heading1"/>
      </w:pPr>
      <w:bookmarkStart w:id="8" w:name="O_1014610"/>
      <w:bookmarkEnd w:id="8"/>
      <w:r w:rsidRPr="00F90801">
        <w:t>Links</w:t>
      </w:r>
    </w:p>
    <w:p w:rsidR="00000000" w:rsidRPr="00F90801" w:rsidP="00D91482">
      <w:pPr>
        <w:pStyle w:val="BodyText"/>
      </w:pPr>
      <w:r w:rsidRPr="00F908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259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0801" w:rsidP="00D91482">
      <w:pPr>
        <w:pStyle w:val="BodyText"/>
        <w:sectPr w:rsidSect="00F908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0801" w:rsidP="00F90801">
      <w:pPr>
        <w:pStyle w:val="SuperHeading"/>
      </w:pPr>
      <w:r w:rsidRPr="00F90801">
        <w:t>Assessment Requirements for MSFGG3022 Construct and repai</w:t>
      </w:r>
      <w:r w:rsidRPr="00F90801">
        <w:t>r leadlight panels</w:t>
      </w:r>
    </w:p>
    <w:p w:rsidR="00000000" w:rsidRPr="00F90801" w:rsidP="00F90801">
      <w:pPr>
        <w:pStyle w:val="Heading1"/>
      </w:pPr>
      <w:bookmarkStart w:id="9" w:name="O_1014612"/>
      <w:bookmarkEnd w:id="9"/>
      <w:r w:rsidRPr="00F90801">
        <w:t>Modification History</w:t>
      </w:r>
    </w:p>
    <w:p w:rsidR="00D91482" w:rsidP="00D91482">
      <w:pPr>
        <w:pStyle w:val="BodyText"/>
      </w:pPr>
      <w:r w:rsidRPr="00F90801">
        <w:t>Release 1. Supersedes and is equivalent to MSFGG3014 Construct and repair leadlight panels.</w:t>
      </w:r>
    </w:p>
    <w:p w:rsidR="00000000" w:rsidRPr="00F90801" w:rsidP="00F90801">
      <w:pPr>
        <w:pStyle w:val="Heading1"/>
      </w:pPr>
      <w:bookmarkStart w:id="10" w:name="O_1014615"/>
      <w:bookmarkEnd w:id="10"/>
      <w:r w:rsidRPr="00F90801">
        <w:t>Performance Evidence</w:t>
      </w:r>
    </w:p>
    <w:p w:rsidR="00000000" w:rsidRPr="00F90801" w:rsidP="00D91482">
      <w:pPr>
        <w:pStyle w:val="BodyText"/>
      </w:pPr>
      <w:r w:rsidRPr="00F90801">
        <w:t>There must be evidence the candidate has completed the tasks outl</w:t>
      </w:r>
      <w:r w:rsidRPr="00F90801">
        <w:t xml:space="preserve">ined in the elements and performance criteria of this unit, and: </w:t>
      </w:r>
    </w:p>
    <w:p w:rsidR="00D91482" w:rsidP="00F90801">
      <w:pPr>
        <w:pStyle w:val="ListBullet"/>
      </w:pPr>
      <w:r w:rsidRPr="00F90801">
        <w:t>constructed and/or repaired 3 different leadlight panels.</w:t>
      </w:r>
    </w:p>
    <w:p w:rsidR="00D91482" w:rsidP="00F90801">
      <w:pPr>
        <w:pStyle w:val="ListBullet"/>
      </w:pPr>
    </w:p>
    <w:p w:rsidR="00000000" w:rsidRPr="00F90801" w:rsidP="00F90801">
      <w:pPr>
        <w:pStyle w:val="Heading1"/>
      </w:pPr>
      <w:bookmarkStart w:id="11" w:name="O_1014614"/>
      <w:bookmarkEnd w:id="11"/>
      <w:r w:rsidRPr="00F90801">
        <w:t>Knowledge Evidence</w:t>
      </w:r>
    </w:p>
    <w:p w:rsidR="00000000" w:rsidRPr="00F90801" w:rsidP="00D91482">
      <w:pPr>
        <w:pStyle w:val="BodyText"/>
      </w:pPr>
      <w:r w:rsidRPr="00F90801">
        <w:t>There must be evidence the candidate has knowledge of:</w:t>
      </w:r>
    </w:p>
    <w:p w:rsidR="00000000" w:rsidRPr="00F90801" w:rsidP="00F90801">
      <w:pPr>
        <w:pStyle w:val="ListBullet"/>
      </w:pPr>
      <w:r w:rsidRPr="00F90801">
        <w:t>end use of leadlight panels and required safety, quality and structural standards</w:t>
      </w:r>
    </w:p>
    <w:p w:rsidR="00000000" w:rsidRPr="00F90801" w:rsidP="00F90801">
      <w:pPr>
        <w:pStyle w:val="ListBullet"/>
      </w:pPr>
      <w:r w:rsidRPr="00F90801">
        <w:t>characteristics, including hazards and workplace safety system requirements, associated with the materials used in leadlight panel construction</w:t>
      </w:r>
    </w:p>
    <w:p w:rsidR="00000000" w:rsidRPr="00F90801" w:rsidP="00F90801">
      <w:pPr>
        <w:pStyle w:val="ListBullet"/>
      </w:pPr>
      <w:r w:rsidRPr="00F90801">
        <w:t>operation of tools and equipme</w:t>
      </w:r>
      <w:r w:rsidRPr="00F90801">
        <w:t>nt used in constructing and/or repairing leadlight panels</w:t>
      </w:r>
    </w:p>
    <w:p w:rsidR="00000000" w:rsidRPr="00F90801" w:rsidP="00F90801">
      <w:pPr>
        <w:pStyle w:val="ListBullet"/>
      </w:pPr>
      <w:r w:rsidRPr="00F90801">
        <w:t>research techniques to establish the historical importance of lead lighting works</w:t>
      </w:r>
    </w:p>
    <w:p w:rsidR="00000000" w:rsidRPr="00F90801" w:rsidP="00F90801">
      <w:pPr>
        <w:pStyle w:val="ListBullet"/>
      </w:pPr>
      <w:r w:rsidRPr="00F90801">
        <w:t>processes and procedures involved in the construction and/or repair process of leadlight panels, including historica</w:t>
      </w:r>
      <w:r w:rsidRPr="00F90801">
        <w:t>lly important works</w:t>
      </w:r>
    </w:p>
    <w:p w:rsidR="00000000" w:rsidRPr="00F90801" w:rsidP="00F90801">
      <w:pPr>
        <w:pStyle w:val="ListBullet"/>
      </w:pPr>
      <w:r w:rsidRPr="00F90801">
        <w:t>impact of design features of the leadlight panel on purpose, materials and construction</w:t>
      </w:r>
    </w:p>
    <w:p w:rsidR="00D91482" w:rsidP="00F90801">
      <w:pPr>
        <w:pStyle w:val="ListBullet"/>
      </w:pPr>
      <w:r w:rsidRPr="00F90801">
        <w:t>relevant Australian Standards.</w:t>
      </w:r>
    </w:p>
    <w:p w:rsidR="00D91482" w:rsidP="00F90801">
      <w:pPr>
        <w:pStyle w:val="ListBullet"/>
      </w:pPr>
    </w:p>
    <w:p w:rsidR="00000000" w:rsidRPr="00F90801" w:rsidP="00F90801">
      <w:pPr>
        <w:pStyle w:val="Heading1"/>
      </w:pPr>
      <w:bookmarkStart w:id="12" w:name="O_1014613"/>
      <w:bookmarkEnd w:id="12"/>
      <w:r w:rsidRPr="00F90801">
        <w:t>Assessment Conditions</w:t>
      </w:r>
    </w:p>
    <w:p w:rsidR="00000000" w:rsidRPr="00F90801" w:rsidP="00D91482">
      <w:pPr>
        <w:pStyle w:val="BodyText"/>
      </w:pPr>
      <w:r w:rsidRPr="00F90801">
        <w:t>Skills must have been demonstrated in the workplace or in a simulated envir</w:t>
      </w:r>
      <w:r w:rsidRPr="00F90801">
        <w:t xml:space="preserve">onment that reflects workplace conditions and contingencies. The following conditions must be met for this unit: </w:t>
      </w:r>
    </w:p>
    <w:p w:rsidR="00000000" w:rsidRPr="00F90801" w:rsidP="00F90801">
      <w:pPr>
        <w:pStyle w:val="ListBullet"/>
      </w:pPr>
      <w:r w:rsidRPr="00F90801">
        <w:t xml:space="preserve">use of suitable facilities, equipment and resources, including: </w:t>
      </w:r>
    </w:p>
    <w:p w:rsidR="00000000" w:rsidRPr="00F90801" w:rsidP="00F90801">
      <w:pPr>
        <w:pStyle w:val="ListBullet2"/>
      </w:pPr>
      <w:r w:rsidRPr="00F90801">
        <w:t xml:space="preserve">leadlight panels for repair or plans for new panels </w:t>
      </w:r>
    </w:p>
    <w:p w:rsidR="00000000" w:rsidRPr="00F90801" w:rsidP="00F90801">
      <w:pPr>
        <w:pStyle w:val="ListBullet2"/>
      </w:pPr>
      <w:r w:rsidRPr="00F90801">
        <w:t>glass handling equipment and hand tools</w:t>
      </w:r>
    </w:p>
    <w:p w:rsidR="00000000" w:rsidRPr="00F90801" w:rsidP="00F90801">
      <w:pPr>
        <w:pStyle w:val="ListBullet2"/>
      </w:pPr>
      <w:r w:rsidRPr="00F90801">
        <w:t>safety and personal protective equipment</w:t>
      </w:r>
    </w:p>
    <w:p w:rsidR="00000000" w:rsidRPr="00F90801" w:rsidP="00F90801">
      <w:pPr>
        <w:pStyle w:val="ListBullet2"/>
      </w:pPr>
      <w:r w:rsidRPr="00F90801">
        <w:t>work orders.</w:t>
      </w:r>
    </w:p>
    <w:p w:rsidR="00000000" w:rsidRPr="00F90801" w:rsidP="00D91482">
      <w:pPr>
        <w:pStyle w:val="BodyText"/>
      </w:pPr>
      <w:r w:rsidRPr="00F90801">
        <w:t>Assessors must satisfy the NVR/AQTF mandatory competency requirements for assessors.</w:t>
      </w:r>
    </w:p>
    <w:p w:rsidR="00000000" w:rsidRPr="00F90801" w:rsidP="00F90801">
      <w:pPr>
        <w:pStyle w:val="Heading1"/>
      </w:pPr>
      <w:bookmarkStart w:id="13" w:name="O_1014611"/>
      <w:bookmarkEnd w:id="13"/>
      <w:r w:rsidRPr="00F90801">
        <w:t>Links</w:t>
      </w:r>
    </w:p>
    <w:p w:rsidR="00000000" w:rsidRPr="00F90801" w:rsidP="00D91482">
      <w:pPr>
        <w:pStyle w:val="BodyText"/>
      </w:pPr>
      <w:r w:rsidRPr="00F90801">
        <w:t xml:space="preserve">Companion Volume implementation guides are found in </w:t>
      </w:r>
      <w:r w:rsidRPr="00F90801">
        <w:t xml:space="preserve">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1259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0801" w:rsidP="00F90801"/>
    <w:sectPr w:rsidSect="00F908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 w:rsidRPr="00D91482" w:rsidP="00D914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82" w:rsidP="00F90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482" w:rsidP="00F90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1482" w:rsidP="00F908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 w:rsidP="00F90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1482">
      <w:t>Approved</w:t>
    </w:r>
    <w:r w:rsidR="00D914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14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1482">
      <w:rPr>
        <w:noProof/>
      </w:rPr>
      <w:t>4</w:t>
    </w:r>
    <w:r>
      <w:rPr>
        <w:noProof/>
      </w:rPr>
      <w:fldChar w:fldCharType="end"/>
    </w:r>
  </w:p>
  <w:p w:rsidR="00F90801" w:rsidP="00F90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14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1482">
      <w:t>Skills Insight</w:t>
    </w:r>
    <w:r w:rsidR="00D91482">
      <w:fldChar w:fldCharType="end"/>
    </w:r>
  </w:p>
  <w:p w:rsidR="00F90801" w:rsidP="00F90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801" w:rsidRPr="00D91482" w:rsidP="00D914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82" w:rsidRPr="002D2AF8" w:rsidP="00F90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MSFGG3022 Construct and repair leadlight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1482" w:rsidP="00F908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801" w:rsidRPr="002D2AF8" w:rsidP="00F90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1482">
      <w:t>MSFGG3022 Construct and repair leadlight panels</w:t>
    </w:r>
    <w:r w:rsidR="00D914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1482">
      <w:rPr>
        <w:noProof/>
      </w:rPr>
      <w:t>1 March 2025</w:t>
    </w:r>
    <w:r>
      <w:fldChar w:fldCharType="end"/>
    </w:r>
  </w:p>
  <w:p w:rsidR="00F90801" w:rsidP="00F90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4CB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41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67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801"/>
  </w:style>
  <w:style w:type="character" w:customStyle="1" w:styleId="Heading1Char">
    <w:name w:val="Heading 1 Char"/>
    <w:basedOn w:val="DefaultParagraphFont"/>
    <w:link w:val="Heading1"/>
    <w:rsid w:val="00F90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8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801"/>
    <w:rPr>
      <w:b/>
      <w:spacing w:val="0"/>
    </w:rPr>
  </w:style>
  <w:style w:type="paragraph" w:styleId="ListBullet2">
    <w:name w:val="List Bullet 2"/>
    <w:basedOn w:val="List2"/>
    <w:rsid w:val="00F908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0801"/>
    <w:rPr>
      <w:i/>
    </w:rPr>
  </w:style>
  <w:style w:type="paragraph" w:customStyle="1" w:styleId="SuperHeading">
    <w:name w:val="SuperHeading"/>
    <w:basedOn w:val="Normal"/>
    <w:rsid w:val="00F90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801"/>
  </w:style>
  <w:style w:type="paragraph" w:styleId="TableofFigures">
    <w:name w:val="table of figures"/>
    <w:basedOn w:val="Normal"/>
    <w:next w:val="Normal"/>
    <w:semiHidden/>
    <w:rsid w:val="00F90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8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0801"/>
    <w:rPr>
      <w:rFonts w:ascii="Wingdings" w:hAnsi="Wingdings"/>
    </w:rPr>
  </w:style>
  <w:style w:type="paragraph" w:customStyle="1" w:styleId="TableHeading">
    <w:name w:val="Table Heading"/>
    <w:basedOn w:val="HeadingBase"/>
    <w:rsid w:val="00F90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801"/>
    <w:rPr>
      <w:color w:val="0033CC"/>
      <w:u w:val="none"/>
    </w:rPr>
  </w:style>
  <w:style w:type="paragraph" w:customStyle="1" w:styleId="BodyTextRight">
    <w:name w:val="Body Text Right"/>
    <w:basedOn w:val="BodyText"/>
    <w:rsid w:val="00F90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8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801"/>
    <w:rPr>
      <w:sz w:val="32"/>
    </w:rPr>
  </w:style>
  <w:style w:type="paragraph" w:customStyle="1" w:styleId="HeadingProcedure">
    <w:name w:val="Heading Procedure"/>
    <w:basedOn w:val="HeadingBase"/>
    <w:next w:val="Normal"/>
    <w:rsid w:val="00F90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801"/>
    <w:pPr>
      <w:spacing w:before="60" w:after="60"/>
    </w:pPr>
  </w:style>
  <w:style w:type="paragraph" w:styleId="ListContinue">
    <w:name w:val="List Continue"/>
    <w:basedOn w:val="List"/>
    <w:rsid w:val="00F90801"/>
    <w:pPr>
      <w:ind w:firstLine="0"/>
    </w:pPr>
  </w:style>
  <w:style w:type="paragraph" w:customStyle="1" w:styleId="ListNote">
    <w:name w:val="List Note"/>
    <w:basedOn w:val="List"/>
    <w:rsid w:val="00F90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801"/>
    <w:rPr>
      <w:rFonts w:ascii="Courier New" w:hAnsi="Courier New"/>
    </w:rPr>
  </w:style>
  <w:style w:type="paragraph" w:customStyle="1" w:styleId="NoteBullet">
    <w:name w:val="Note Bullet"/>
    <w:basedOn w:val="Note"/>
    <w:rsid w:val="00F90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8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0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801"/>
    <w:rPr>
      <w:b/>
      <w:smallCaps/>
    </w:rPr>
  </w:style>
  <w:style w:type="paragraph" w:customStyle="1" w:styleId="TableListNumber">
    <w:name w:val="Table List Number"/>
    <w:basedOn w:val="ListNumber"/>
    <w:rsid w:val="00F90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801"/>
    <w:pPr>
      <w:numPr>
        <w:numId w:val="9"/>
      </w:numPr>
    </w:pPr>
  </w:style>
  <w:style w:type="paragraph" w:customStyle="1" w:styleId="ListAlpha2">
    <w:name w:val="List Alpha 2"/>
    <w:basedOn w:val="List2"/>
    <w:rsid w:val="00F90801"/>
    <w:pPr>
      <w:numPr>
        <w:numId w:val="8"/>
      </w:numPr>
    </w:pPr>
  </w:style>
  <w:style w:type="paragraph" w:styleId="List2">
    <w:name w:val="List 2"/>
    <w:basedOn w:val="BodyText"/>
    <w:rsid w:val="00F90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8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8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801"/>
    <w:pPr>
      <w:numPr>
        <w:numId w:val="4"/>
      </w:numPr>
    </w:pPr>
  </w:style>
  <w:style w:type="paragraph" w:styleId="ListContinue2">
    <w:name w:val="List Continue 2"/>
    <w:basedOn w:val="List2"/>
    <w:rsid w:val="00F90801"/>
    <w:pPr>
      <w:ind w:firstLine="0"/>
    </w:pPr>
  </w:style>
  <w:style w:type="paragraph" w:styleId="ListContinue3">
    <w:name w:val="List Continue 3"/>
    <w:basedOn w:val="List3"/>
    <w:rsid w:val="00F90801"/>
    <w:pPr>
      <w:ind w:left="1021" w:firstLine="0"/>
    </w:pPr>
  </w:style>
  <w:style w:type="paragraph" w:styleId="ListContinue4">
    <w:name w:val="List Continue 4"/>
    <w:basedOn w:val="List4"/>
    <w:rsid w:val="00F90801"/>
    <w:pPr>
      <w:ind w:firstLine="0"/>
    </w:pPr>
  </w:style>
  <w:style w:type="paragraph" w:styleId="ListContinue5">
    <w:name w:val="List Continue 5"/>
    <w:basedOn w:val="List5"/>
    <w:rsid w:val="00F90801"/>
    <w:pPr>
      <w:ind w:firstLine="0"/>
    </w:pPr>
  </w:style>
  <w:style w:type="paragraph" w:styleId="ListNumber3">
    <w:name w:val="List Number 3"/>
    <w:basedOn w:val="List3"/>
    <w:rsid w:val="00F90801"/>
    <w:pPr>
      <w:numPr>
        <w:numId w:val="5"/>
      </w:numPr>
    </w:pPr>
  </w:style>
  <w:style w:type="paragraph" w:styleId="ListNumber4">
    <w:name w:val="List Number 4"/>
    <w:basedOn w:val="List4"/>
    <w:rsid w:val="00F90801"/>
    <w:pPr>
      <w:numPr>
        <w:numId w:val="6"/>
      </w:numPr>
    </w:pPr>
  </w:style>
  <w:style w:type="paragraph" w:styleId="ListNumber5">
    <w:name w:val="List Number 5"/>
    <w:basedOn w:val="List5"/>
    <w:rsid w:val="00F90801"/>
    <w:pPr>
      <w:numPr>
        <w:numId w:val="7"/>
      </w:numPr>
    </w:pPr>
  </w:style>
  <w:style w:type="paragraph" w:styleId="BlockText">
    <w:name w:val="Block Text"/>
    <w:basedOn w:val="Normal"/>
    <w:rsid w:val="00F90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801"/>
    <w:rPr>
      <w:sz w:val="16"/>
      <w:vertAlign w:val="superscript"/>
    </w:rPr>
  </w:style>
  <w:style w:type="character" w:customStyle="1" w:styleId="Symbols">
    <w:name w:val="Symbols"/>
    <w:basedOn w:val="DefaultParagraphFont"/>
    <w:rsid w:val="00F90801"/>
    <w:rPr>
      <w:rFonts w:ascii="Symbol" w:hAnsi="Symbol"/>
    </w:rPr>
  </w:style>
  <w:style w:type="character" w:customStyle="1" w:styleId="MenuOptions">
    <w:name w:val="Menu Options"/>
    <w:basedOn w:val="DefaultParagraphFont"/>
    <w:rsid w:val="00F90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801"/>
    <w:rPr>
      <w:b/>
    </w:rPr>
  </w:style>
  <w:style w:type="character" w:customStyle="1" w:styleId="Underlined">
    <w:name w:val="Underlined"/>
    <w:basedOn w:val="DefaultParagraphFont"/>
    <w:rsid w:val="00F90801"/>
    <w:rPr>
      <w:u w:val="single"/>
    </w:rPr>
  </w:style>
  <w:style w:type="paragraph" w:customStyle="1" w:styleId="TableBodyTextRight">
    <w:name w:val="Table Body Text Right"/>
    <w:basedOn w:val="TableBodyText"/>
    <w:rsid w:val="00F90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801"/>
    <w:rPr>
      <w:sz w:val="18"/>
    </w:rPr>
  </w:style>
  <w:style w:type="paragraph" w:customStyle="1" w:styleId="BodySmallRight">
    <w:name w:val="Body Small Right"/>
    <w:basedOn w:val="BodyTextRight"/>
    <w:rsid w:val="00F90801"/>
    <w:rPr>
      <w:sz w:val="18"/>
      <w:szCs w:val="18"/>
    </w:rPr>
  </w:style>
  <w:style w:type="paragraph" w:customStyle="1" w:styleId="MarginEdition">
    <w:name w:val="Margin Edition"/>
    <w:basedOn w:val="MarginNote"/>
    <w:rsid w:val="00F90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801"/>
    <w:rPr>
      <w:sz w:val="2"/>
      <w:szCs w:val="2"/>
    </w:rPr>
  </w:style>
  <w:style w:type="character" w:customStyle="1" w:styleId="Small">
    <w:name w:val="Small"/>
    <w:basedOn w:val="DefaultParagraphFont"/>
    <w:rsid w:val="00F90801"/>
    <w:rPr>
      <w:sz w:val="16"/>
    </w:rPr>
  </w:style>
  <w:style w:type="paragraph" w:customStyle="1" w:styleId="WideTable">
    <w:name w:val="Wide Table"/>
    <w:basedOn w:val="Normal"/>
    <w:rsid w:val="00F90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801"/>
  </w:style>
  <w:style w:type="paragraph" w:styleId="Quote">
    <w:name w:val="Quote"/>
    <w:basedOn w:val="Heading1"/>
    <w:link w:val="QuoteChar"/>
    <w:qFormat/>
    <w:rsid w:val="00F90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801"/>
    <w:pPr>
      <w:pageBreakBefore/>
    </w:pPr>
  </w:style>
  <w:style w:type="paragraph" w:customStyle="1" w:styleId="Border">
    <w:name w:val="Border"/>
    <w:basedOn w:val="Normal"/>
    <w:qFormat/>
    <w:rsid w:val="00F90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801"/>
    <w:rPr>
      <w:u w:val="single"/>
    </w:rPr>
  </w:style>
  <w:style w:type="character" w:customStyle="1" w:styleId="BoldandItalics">
    <w:name w:val="Bold and Italics"/>
    <w:qFormat/>
    <w:rsid w:val="00F90801"/>
    <w:rPr>
      <w:b/>
      <w:i/>
      <w:u w:val="none"/>
    </w:rPr>
  </w:style>
  <w:style w:type="paragraph" w:styleId="BalloonText">
    <w:name w:val="Balloon Text"/>
    <w:basedOn w:val="Normal"/>
    <w:link w:val="BalloonTextChar"/>
    <w:rsid w:val="00F90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801"/>
    <w:pPr>
      <w:spacing w:before="0" w:after="0"/>
    </w:pPr>
  </w:style>
  <w:style w:type="paragraph" w:customStyle="1" w:styleId="BodyTextBold">
    <w:name w:val="Body Text Bold"/>
    <w:basedOn w:val="BodyText"/>
    <w:qFormat/>
    <w:rsid w:val="00F90801"/>
    <w:rPr>
      <w:b/>
    </w:rPr>
  </w:style>
  <w:style w:type="character" w:styleId="Hyperlink">
    <w:name w:val="Hyperlink"/>
    <w:basedOn w:val="DefaultParagraphFont"/>
    <w:uiPriority w:val="99"/>
    <w:unhideWhenUsed/>
    <w:rsid w:val="00D914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4597</Characters>
  <Application>Microsoft Office Word</Application>
  <DocSecurity>0</DocSecurity>
  <Lines>131</Lines>
  <Paragraphs>85</Paragraphs>
  <ScaleCrop>false</ScaleCrop>
  <Company>Author-it Software Corporation Ltd.</Company>
  <LinksUpToDate>false</LinksUpToDate>
  <CharactersWithSpaces>5221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MSFGG3022 Construct and repair leadlight panels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