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61CD4" w:rsidP="00161CD4">
      <w:pPr>
        <w:pStyle w:val="Title"/>
      </w:pPr>
      <w:r>
        <w:fldChar w:fldCharType="begin"/>
      </w:r>
      <w:r>
        <w:instrText xml:space="preserve"> TITLE   \* MERGEFORMAT </w:instrText>
      </w:r>
      <w:r>
        <w:fldChar w:fldCharType="separate"/>
      </w:r>
      <w:r>
        <w:t>MSFGG3019 Conduct commercial and structural re-glazing</w:t>
      </w:r>
      <w:r>
        <w:fldChar w:fldCharType="end"/>
      </w:r>
    </w:p>
    <w:p w:rsidR="00161CD4" w:rsidP="00161CD4">
      <w:pPr>
        <w:pStyle w:val="Version"/>
        <w:sectPr w:rsidSect="00A1040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10404" w:rsidP="00A10404">
      <w:pPr>
        <w:pStyle w:val="SuperHeading"/>
      </w:pPr>
      <w:r w:rsidRPr="00A10404">
        <w:t>MSFGG3019 Conduct commercial and structural re-glazing</w:t>
      </w:r>
    </w:p>
    <w:p w:rsidR="00000000" w:rsidRPr="00A10404" w:rsidP="00A10404">
      <w:pPr>
        <w:pStyle w:val="Heading1"/>
      </w:pPr>
      <w:bookmarkStart w:id="1" w:name="O_632961"/>
      <w:bookmarkEnd w:id="1"/>
      <w:r w:rsidRPr="00A10404">
        <w:t>Modification History</w:t>
      </w:r>
    </w:p>
    <w:p w:rsidR="00000000" w:rsidRPr="00A10404" w:rsidP="00A10404">
      <w:pPr>
        <w:pStyle w:val="BodyText"/>
      </w:pPr>
      <w:r w:rsidRPr="00A10404">
        <w:t>Release 1 - New unit of competency</w:t>
      </w:r>
    </w:p>
    <w:p w:rsidR="00000000" w:rsidRPr="00A10404" w:rsidP="00A10404">
      <w:pPr>
        <w:pStyle w:val="AllowPageBreak"/>
      </w:pPr>
    </w:p>
    <w:p w:rsidR="00000000" w:rsidRPr="00A10404" w:rsidP="00A10404">
      <w:pPr>
        <w:pStyle w:val="Heading1"/>
      </w:pPr>
      <w:bookmarkStart w:id="2" w:name="O_632969"/>
      <w:bookmarkEnd w:id="2"/>
      <w:r w:rsidRPr="00A10404">
        <w:t>Application</w:t>
      </w:r>
    </w:p>
    <w:p w:rsidR="00000000" w:rsidRPr="00A10404" w:rsidP="00A10404">
      <w:pPr>
        <w:pStyle w:val="BodyText"/>
      </w:pPr>
      <w:r w:rsidRPr="00A10404">
        <w:t>This of competency unit covers replacing glass in commercial, structural and/or architectural engineered applications.</w:t>
      </w:r>
    </w:p>
    <w:p w:rsidR="00000000" w:rsidRPr="00A10404" w:rsidP="00A10404">
      <w:pPr>
        <w:pStyle w:val="BodyText"/>
      </w:pPr>
    </w:p>
    <w:p w:rsidR="00000000" w:rsidRPr="00A10404" w:rsidP="00A10404">
      <w:pPr>
        <w:pStyle w:val="BodyText"/>
      </w:pPr>
      <w:r w:rsidRPr="00A10404">
        <w:t>Licensing, legislative or certification req</w:t>
      </w:r>
      <w:r w:rsidRPr="00A10404">
        <w:t>uirements may apply to this unit and relevant state/territory and local government agencies should be consulted to determine any necessary certification or licensing for undertaking glass and glazing work. Access to construction sites requires certificatio</w:t>
      </w:r>
      <w:r w:rsidRPr="00A10404">
        <w:t xml:space="preserve">n of general induction training specified by the </w:t>
      </w:r>
      <w:r w:rsidRPr="00A10404">
        <w:rPr>
          <w:rStyle w:val="Emphasis"/>
        </w:rPr>
        <w:t>National Code of Practice for Induction for Construction Work</w:t>
      </w:r>
      <w:r w:rsidRPr="00A10404">
        <w:t xml:space="preserve"> (ASCC 2007).</w:t>
      </w:r>
    </w:p>
    <w:p w:rsidR="00000000" w:rsidRPr="00A10404" w:rsidP="00A10404">
      <w:pPr>
        <w:pStyle w:val="AllowPageBreak"/>
      </w:pPr>
    </w:p>
    <w:p w:rsidR="00000000" w:rsidRPr="00A10404" w:rsidP="00A10404">
      <w:pPr>
        <w:pStyle w:val="Heading1"/>
      </w:pPr>
      <w:bookmarkStart w:id="3" w:name="O_632968"/>
      <w:bookmarkEnd w:id="3"/>
      <w:r w:rsidRPr="00A10404">
        <w:t>Pre-requisite Unit</w:t>
      </w:r>
    </w:p>
    <w:p w:rsidR="00000000" w:rsidRPr="00A10404" w:rsidP="00A10404">
      <w:pPr>
        <w:pStyle w:val="Heading1"/>
      </w:pPr>
      <w:bookmarkStart w:id="4" w:name="O_632967"/>
      <w:bookmarkEnd w:id="4"/>
      <w:r w:rsidRPr="00A10404">
        <w:t>Competency Field</w:t>
      </w:r>
    </w:p>
    <w:p w:rsidR="00000000" w:rsidRPr="00A10404" w:rsidP="00A10404">
      <w:pPr>
        <w:pStyle w:val="Heading1"/>
      </w:pPr>
      <w:bookmarkStart w:id="5" w:name="O_632966"/>
      <w:bookmarkEnd w:id="5"/>
      <w:r w:rsidRPr="00A10404">
        <w:t>Unit Sector</w:t>
      </w:r>
    </w:p>
    <w:p w:rsidR="00000000" w:rsidRPr="00A10404" w:rsidP="00A10404">
      <w:pPr>
        <w:pStyle w:val="BodyText"/>
      </w:pPr>
      <w:r w:rsidRPr="00A10404">
        <w:t>Glass and Glazing</w:t>
      </w:r>
    </w:p>
    <w:p w:rsidR="00000000" w:rsidRPr="00A10404" w:rsidP="00A10404">
      <w:pPr>
        <w:pStyle w:val="AllowPageBreak"/>
      </w:pPr>
    </w:p>
    <w:p w:rsidR="00000000" w:rsidRPr="00A10404" w:rsidP="00A10404">
      <w:pPr>
        <w:pStyle w:val="Heading1"/>
      </w:pPr>
      <w:bookmarkStart w:id="6" w:name="O_632965"/>
      <w:bookmarkEnd w:id="6"/>
      <w:r w:rsidRPr="00A10404">
        <w:t>Elements and Performance Criteria</w:t>
      </w:r>
    </w:p>
    <w:tbl>
      <w:tblPr>
        <w:tblW w:w="9286" w:type="dxa"/>
        <w:tblLayout w:type="fixed"/>
        <w:tblCellMar>
          <w:left w:w="62" w:type="dxa"/>
          <w:right w:w="62" w:type="dxa"/>
        </w:tblCellMar>
        <w:tblLook w:val="0000"/>
      </w:tblPr>
      <w:tblGrid>
        <w:gridCol w:w="630"/>
        <w:gridCol w:w="2129"/>
        <w:gridCol w:w="751"/>
        <w:gridCol w:w="5776"/>
      </w:tblGrid>
      <w:tr w:rsidTr="00A10404">
        <w:tblPrEx>
          <w:tblW w:w="9286" w:type="dxa"/>
          <w:tblLayout w:type="fixed"/>
          <w:tblCellMar>
            <w:left w:w="62" w:type="dxa"/>
            <w:right w:w="62" w:type="dxa"/>
          </w:tblCellMar>
          <w:tblLook w:val="0000"/>
        </w:tblPrEx>
        <w:tc>
          <w:tcPr>
            <w:tcW w:w="2759" w:type="dxa"/>
            <w:gridSpan w:val="2"/>
            <w:tcBorders>
              <w:top w:val="nil"/>
              <w:left w:val="nil"/>
              <w:bottom w:val="nil"/>
              <w:right w:val="nil"/>
            </w:tcBorders>
            <w:tcMar>
              <w:top w:w="0" w:type="dxa"/>
              <w:left w:w="62" w:type="dxa"/>
              <w:bottom w:w="0" w:type="dxa"/>
              <w:right w:w="62" w:type="dxa"/>
            </w:tcMar>
          </w:tcPr>
          <w:p w:rsidR="00000000" w:rsidP="00A10404">
            <w:pPr>
              <w:pStyle w:val="BodyText"/>
              <w:rPr>
                <w:lang w:val="en-NZ"/>
              </w:rPr>
            </w:pPr>
            <w:r w:rsidRPr="00A10404">
              <w:t>Elements describe the essential outcomes.</w:t>
            </w:r>
          </w:p>
        </w:tc>
        <w:tc>
          <w:tcPr>
            <w:tcW w:w="6527" w:type="dxa"/>
            <w:gridSpan w:val="2"/>
            <w:tcBorders>
              <w:top w:val="nil"/>
              <w:left w:val="nil"/>
              <w:bottom w:val="nil"/>
              <w:right w:val="nil"/>
            </w:tcBorders>
            <w:tcMar>
              <w:top w:w="0" w:type="dxa"/>
              <w:left w:w="62" w:type="dxa"/>
              <w:bottom w:w="0" w:type="dxa"/>
              <w:right w:w="62" w:type="dxa"/>
            </w:tcMar>
          </w:tcPr>
          <w:p w:rsidR="00000000" w:rsidP="00A10404">
            <w:pPr>
              <w:pStyle w:val="BodyText"/>
              <w:rPr>
                <w:lang w:val="en-NZ"/>
              </w:rPr>
            </w:pPr>
            <w:r w:rsidRPr="00A10404">
              <w:t>Performance criteria describe the performance needed to demonstrate achievement of the element.</w:t>
            </w:r>
          </w:p>
        </w:tc>
      </w:tr>
      <w:tr w:rsidTr="00A10404">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rsidP="00A10404">
            <w:pPr>
              <w:pStyle w:val="BodyText"/>
              <w:rPr>
                <w:lang w:val="en-NZ"/>
              </w:rPr>
            </w:pPr>
            <w:r w:rsidRPr="00A10404">
              <w:t>1</w:t>
            </w:r>
          </w:p>
        </w:tc>
        <w:tc>
          <w:tcPr>
            <w:tcW w:w="2129" w:type="dxa"/>
            <w:tcBorders>
              <w:top w:val="nil"/>
              <w:left w:val="nil"/>
              <w:bottom w:val="nil"/>
              <w:right w:val="nil"/>
            </w:tcBorders>
            <w:tcMar>
              <w:top w:w="0" w:type="dxa"/>
              <w:left w:w="62" w:type="dxa"/>
              <w:bottom w:w="0" w:type="dxa"/>
              <w:right w:w="62" w:type="dxa"/>
            </w:tcMar>
          </w:tcPr>
          <w:p w:rsidR="00000000" w:rsidP="00A10404">
            <w:pPr>
              <w:pStyle w:val="BodyText"/>
              <w:rPr>
                <w:lang w:val="en-NZ"/>
              </w:rPr>
            </w:pPr>
            <w:r w:rsidRPr="00A10404">
              <w:t>Identify work requirements</w:t>
            </w:r>
          </w:p>
        </w:tc>
        <w:tc>
          <w:tcPr>
            <w:tcW w:w="751" w:type="dxa"/>
            <w:tcBorders>
              <w:top w:val="nil"/>
              <w:left w:val="nil"/>
              <w:bottom w:val="nil"/>
              <w:right w:val="nil"/>
            </w:tcBorders>
            <w:tcMar>
              <w:top w:w="0" w:type="dxa"/>
              <w:left w:w="62" w:type="dxa"/>
              <w:bottom w:w="0" w:type="dxa"/>
              <w:right w:w="62" w:type="dxa"/>
            </w:tcMar>
          </w:tcPr>
          <w:p w:rsidR="00000000" w:rsidP="00A10404">
            <w:pPr>
              <w:pStyle w:val="BodyText"/>
              <w:rPr>
                <w:lang w:val="en-NZ"/>
              </w:rPr>
            </w:pPr>
            <w:r w:rsidRPr="00A10404">
              <w:t>1.1</w:t>
            </w:r>
          </w:p>
        </w:tc>
        <w:tc>
          <w:tcPr>
            <w:tcW w:w="5776" w:type="dxa"/>
            <w:tcBorders>
              <w:top w:val="nil"/>
              <w:left w:val="nil"/>
              <w:bottom w:val="nil"/>
              <w:right w:val="nil"/>
            </w:tcBorders>
            <w:tcMar>
              <w:top w:w="0" w:type="dxa"/>
              <w:left w:w="62" w:type="dxa"/>
              <w:bottom w:w="0" w:type="dxa"/>
              <w:right w:w="62" w:type="dxa"/>
            </w:tcMar>
          </w:tcPr>
          <w:p w:rsidR="00000000" w:rsidP="00A10404">
            <w:pPr>
              <w:pStyle w:val="BodyText"/>
              <w:rPr>
                <w:lang w:val="en-NZ"/>
              </w:rPr>
            </w:pPr>
            <w:r w:rsidRPr="00A10404">
              <w:t>Work requirements in the form of type of glass, frames and the method of fixing are identified from work instructions</w:t>
            </w:r>
          </w:p>
        </w:tc>
      </w:tr>
      <w:tr w:rsidTr="00A10404">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A10404">
            <w:pPr>
              <w:pStyle w:val="BodyText"/>
              <w:rPr>
                <w:lang w:val="en-NZ"/>
              </w:rPr>
            </w:pPr>
            <w:r w:rsidRPr="00A10404">
              <w:t>1.2</w:t>
            </w:r>
          </w:p>
        </w:tc>
        <w:tc>
          <w:tcPr>
            <w:tcW w:w="5776" w:type="dxa"/>
            <w:tcBorders>
              <w:top w:val="nil"/>
              <w:left w:val="nil"/>
              <w:bottom w:val="nil"/>
              <w:right w:val="nil"/>
            </w:tcBorders>
            <w:tcMar>
              <w:top w:w="0" w:type="dxa"/>
              <w:left w:w="62" w:type="dxa"/>
              <w:bottom w:w="0" w:type="dxa"/>
              <w:right w:w="62" w:type="dxa"/>
            </w:tcMar>
          </w:tcPr>
          <w:p w:rsidR="00000000" w:rsidP="00A10404">
            <w:pPr>
              <w:pStyle w:val="BodyText"/>
              <w:rPr>
                <w:lang w:val="en-NZ"/>
              </w:rPr>
            </w:pPr>
            <w:r w:rsidRPr="00A10404">
              <w:t xml:space="preserve">Work health and safety (WHS) requirements for fabrication and installation of commercial re-glazing, including personal protective </w:t>
            </w:r>
            <w:r w:rsidRPr="00A10404">
              <w:t>equipment, are identified and observed throughout the work</w:t>
            </w:r>
          </w:p>
        </w:tc>
      </w:tr>
      <w:tr w:rsidTr="00A10404">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A10404">
            <w:pPr>
              <w:pStyle w:val="BodyText"/>
              <w:rPr>
                <w:lang w:val="en-NZ"/>
              </w:rPr>
            </w:pPr>
            <w:r w:rsidRPr="00A10404">
              <w:t>1.3</w:t>
            </w:r>
          </w:p>
        </w:tc>
        <w:tc>
          <w:tcPr>
            <w:tcW w:w="5776" w:type="dxa"/>
            <w:tcBorders>
              <w:top w:val="nil"/>
              <w:left w:val="nil"/>
              <w:bottom w:val="nil"/>
              <w:right w:val="nil"/>
            </w:tcBorders>
            <w:tcMar>
              <w:top w:w="0" w:type="dxa"/>
              <w:left w:w="62" w:type="dxa"/>
              <w:bottom w:w="0" w:type="dxa"/>
              <w:right w:w="62" w:type="dxa"/>
            </w:tcMar>
          </w:tcPr>
          <w:p w:rsidR="00000000" w:rsidP="00A10404">
            <w:pPr>
              <w:pStyle w:val="BodyText"/>
              <w:rPr>
                <w:lang w:val="en-NZ"/>
              </w:rPr>
            </w:pPr>
            <w:r w:rsidRPr="00A10404">
              <w:t>The process for fabricating and installing commercial re-glazing is identified</w:t>
            </w:r>
          </w:p>
        </w:tc>
      </w:tr>
      <w:tr w:rsidTr="00A10404">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rsidP="00A10404">
            <w:pPr>
              <w:pStyle w:val="BodyText"/>
              <w:rPr>
                <w:lang w:val="en-NZ"/>
              </w:rPr>
            </w:pPr>
            <w:r w:rsidRPr="00A10404">
              <w:t>2</w:t>
            </w:r>
          </w:p>
        </w:tc>
        <w:tc>
          <w:tcPr>
            <w:tcW w:w="2129" w:type="dxa"/>
            <w:tcBorders>
              <w:top w:val="nil"/>
              <w:left w:val="nil"/>
              <w:bottom w:val="nil"/>
              <w:right w:val="nil"/>
            </w:tcBorders>
            <w:tcMar>
              <w:top w:w="0" w:type="dxa"/>
              <w:left w:w="62" w:type="dxa"/>
              <w:bottom w:w="0" w:type="dxa"/>
              <w:right w:w="62" w:type="dxa"/>
            </w:tcMar>
          </w:tcPr>
          <w:p w:rsidR="00000000" w:rsidP="00A10404">
            <w:pPr>
              <w:pStyle w:val="BodyText"/>
              <w:rPr>
                <w:lang w:val="en-NZ"/>
              </w:rPr>
            </w:pPr>
            <w:r w:rsidRPr="00A10404">
              <w:t>Prepare for work</w:t>
            </w:r>
          </w:p>
        </w:tc>
        <w:tc>
          <w:tcPr>
            <w:tcW w:w="751" w:type="dxa"/>
            <w:tcBorders>
              <w:top w:val="nil"/>
              <w:left w:val="nil"/>
              <w:bottom w:val="nil"/>
              <w:right w:val="nil"/>
            </w:tcBorders>
            <w:tcMar>
              <w:top w:w="0" w:type="dxa"/>
              <w:left w:w="62" w:type="dxa"/>
              <w:bottom w:w="0" w:type="dxa"/>
              <w:right w:w="62" w:type="dxa"/>
            </w:tcMar>
          </w:tcPr>
          <w:p w:rsidR="00000000" w:rsidP="00A10404">
            <w:pPr>
              <w:pStyle w:val="BodyText"/>
              <w:rPr>
                <w:lang w:val="en-NZ"/>
              </w:rPr>
            </w:pPr>
            <w:r w:rsidRPr="00A10404">
              <w:t>2.1</w:t>
            </w:r>
          </w:p>
        </w:tc>
        <w:tc>
          <w:tcPr>
            <w:tcW w:w="5776" w:type="dxa"/>
            <w:tcBorders>
              <w:top w:val="nil"/>
              <w:left w:val="nil"/>
              <w:bottom w:val="nil"/>
              <w:right w:val="nil"/>
            </w:tcBorders>
            <w:tcMar>
              <w:top w:w="0" w:type="dxa"/>
              <w:left w:w="62" w:type="dxa"/>
              <w:bottom w:w="0" w:type="dxa"/>
              <w:right w:w="62" w:type="dxa"/>
            </w:tcMar>
          </w:tcPr>
          <w:p w:rsidR="00000000" w:rsidP="00A10404">
            <w:pPr>
              <w:pStyle w:val="BodyText"/>
              <w:rPr>
                <w:lang w:val="en-NZ"/>
              </w:rPr>
            </w:pPr>
            <w:r w:rsidRPr="00A10404">
              <w:t>Work sequence is planned in a logical order to suit the job and workplace requirements</w:t>
            </w:r>
          </w:p>
        </w:tc>
      </w:tr>
      <w:tr w:rsidTr="00A10404">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A10404">
            <w:pPr>
              <w:pStyle w:val="BodyText"/>
              <w:rPr>
                <w:lang w:val="en-NZ"/>
              </w:rPr>
            </w:pPr>
            <w:r w:rsidRPr="00A10404">
              <w:t>2.2</w:t>
            </w:r>
          </w:p>
        </w:tc>
        <w:tc>
          <w:tcPr>
            <w:tcW w:w="5776" w:type="dxa"/>
            <w:tcBorders>
              <w:top w:val="nil"/>
              <w:left w:val="nil"/>
              <w:bottom w:val="nil"/>
              <w:right w:val="nil"/>
            </w:tcBorders>
            <w:tcMar>
              <w:top w:w="0" w:type="dxa"/>
              <w:left w:w="62" w:type="dxa"/>
              <w:bottom w:w="0" w:type="dxa"/>
              <w:right w:w="62" w:type="dxa"/>
            </w:tcMar>
          </w:tcPr>
          <w:p w:rsidR="00000000" w:rsidP="00A10404">
            <w:pPr>
              <w:pStyle w:val="BodyText"/>
              <w:rPr>
                <w:lang w:val="en-NZ"/>
              </w:rPr>
            </w:pPr>
            <w:r w:rsidRPr="00A10404">
              <w:t>Tools, equipment and materials, other than glass and frames, are selected and checked prior to use to ensure they are appropriate for the work, serviceable and in a safe condition</w:t>
            </w:r>
          </w:p>
        </w:tc>
      </w:tr>
      <w:tr w:rsidTr="00A10404">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A10404">
            <w:pPr>
              <w:pStyle w:val="BodyText"/>
              <w:rPr>
                <w:lang w:val="en-NZ"/>
              </w:rPr>
            </w:pPr>
            <w:r w:rsidRPr="00A10404">
              <w:t>2.3</w:t>
            </w:r>
          </w:p>
        </w:tc>
        <w:tc>
          <w:tcPr>
            <w:tcW w:w="5776" w:type="dxa"/>
            <w:tcBorders>
              <w:top w:val="nil"/>
              <w:left w:val="nil"/>
              <w:bottom w:val="nil"/>
              <w:right w:val="nil"/>
            </w:tcBorders>
            <w:tcMar>
              <w:top w:w="0" w:type="dxa"/>
              <w:left w:w="62" w:type="dxa"/>
              <w:bottom w:w="0" w:type="dxa"/>
              <w:right w:w="62" w:type="dxa"/>
            </w:tcMar>
          </w:tcPr>
          <w:p w:rsidR="00000000" w:rsidP="00A10404">
            <w:pPr>
              <w:pStyle w:val="BodyText"/>
              <w:rPr>
                <w:lang w:val="en-NZ"/>
              </w:rPr>
            </w:pPr>
            <w:r w:rsidRPr="00A10404">
              <w:t>Type of glass to be fitted and frames are selected to match th</w:t>
            </w:r>
            <w:r w:rsidRPr="00A10404">
              <w:t>e customer order, existing glass type, requirements for security, noise or light control and relevant Australian Standards</w:t>
            </w:r>
          </w:p>
        </w:tc>
      </w:tr>
      <w:tr w:rsidTr="00A10404">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A10404">
            <w:pPr>
              <w:pStyle w:val="BodyText"/>
              <w:rPr>
                <w:lang w:val="en-NZ"/>
              </w:rPr>
            </w:pPr>
            <w:r w:rsidRPr="00A10404">
              <w:t>2.4</w:t>
            </w:r>
          </w:p>
        </w:tc>
        <w:tc>
          <w:tcPr>
            <w:tcW w:w="5776" w:type="dxa"/>
            <w:tcBorders>
              <w:top w:val="nil"/>
              <w:left w:val="nil"/>
              <w:bottom w:val="nil"/>
              <w:right w:val="nil"/>
            </w:tcBorders>
            <w:tcMar>
              <w:top w:w="0" w:type="dxa"/>
              <w:left w:w="62" w:type="dxa"/>
              <w:bottom w:w="0" w:type="dxa"/>
              <w:right w:w="62" w:type="dxa"/>
            </w:tcMar>
          </w:tcPr>
          <w:p w:rsidR="00000000" w:rsidP="00A10404">
            <w:pPr>
              <w:pStyle w:val="BodyText"/>
              <w:rPr>
                <w:lang w:val="en-NZ"/>
              </w:rPr>
            </w:pPr>
            <w:r w:rsidRPr="00A10404">
              <w:t>Glass fixing method is selected to meet specifications</w:t>
            </w:r>
          </w:p>
        </w:tc>
      </w:tr>
      <w:tr w:rsidTr="00A10404">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A10404">
            <w:pPr>
              <w:pStyle w:val="BodyText"/>
              <w:rPr>
                <w:lang w:val="en-NZ"/>
              </w:rPr>
            </w:pPr>
            <w:r w:rsidRPr="00A10404">
              <w:t>2.5</w:t>
            </w:r>
          </w:p>
        </w:tc>
        <w:tc>
          <w:tcPr>
            <w:tcW w:w="5776" w:type="dxa"/>
            <w:tcBorders>
              <w:top w:val="nil"/>
              <w:left w:val="nil"/>
              <w:bottom w:val="nil"/>
              <w:right w:val="nil"/>
            </w:tcBorders>
            <w:tcMar>
              <w:top w:w="0" w:type="dxa"/>
              <w:left w:w="62" w:type="dxa"/>
              <w:bottom w:w="0" w:type="dxa"/>
              <w:right w:w="62" w:type="dxa"/>
            </w:tcMar>
          </w:tcPr>
          <w:p w:rsidR="00000000" w:rsidP="00A10404">
            <w:pPr>
              <w:pStyle w:val="BodyText"/>
              <w:rPr>
                <w:lang w:val="en-NZ"/>
              </w:rPr>
            </w:pPr>
            <w:r w:rsidRPr="00A10404">
              <w:t>Glass is checked for type, size and imperfections</w:t>
            </w:r>
          </w:p>
        </w:tc>
      </w:tr>
      <w:tr w:rsidTr="00A10404">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rsidP="00A10404">
            <w:pPr>
              <w:pStyle w:val="BodyText"/>
              <w:rPr>
                <w:lang w:val="en-NZ"/>
              </w:rPr>
            </w:pPr>
            <w:r w:rsidRPr="00A10404">
              <w:t>3</w:t>
            </w:r>
          </w:p>
        </w:tc>
        <w:tc>
          <w:tcPr>
            <w:tcW w:w="2129" w:type="dxa"/>
            <w:tcBorders>
              <w:top w:val="nil"/>
              <w:left w:val="nil"/>
              <w:bottom w:val="nil"/>
              <w:right w:val="nil"/>
            </w:tcBorders>
            <w:tcMar>
              <w:top w:w="0" w:type="dxa"/>
              <w:left w:w="62" w:type="dxa"/>
              <w:bottom w:w="0" w:type="dxa"/>
              <w:right w:w="62" w:type="dxa"/>
            </w:tcMar>
          </w:tcPr>
          <w:p w:rsidR="00000000" w:rsidP="00A10404">
            <w:pPr>
              <w:pStyle w:val="BodyText"/>
              <w:rPr>
                <w:lang w:val="en-NZ"/>
              </w:rPr>
            </w:pPr>
            <w:r w:rsidRPr="00A10404">
              <w:t>Identify site conditions and constraints</w:t>
            </w:r>
          </w:p>
        </w:tc>
        <w:tc>
          <w:tcPr>
            <w:tcW w:w="751" w:type="dxa"/>
            <w:tcBorders>
              <w:top w:val="nil"/>
              <w:left w:val="nil"/>
              <w:bottom w:val="nil"/>
              <w:right w:val="nil"/>
            </w:tcBorders>
            <w:tcMar>
              <w:top w:w="0" w:type="dxa"/>
              <w:left w:w="62" w:type="dxa"/>
              <w:bottom w:w="0" w:type="dxa"/>
              <w:right w:w="62" w:type="dxa"/>
            </w:tcMar>
          </w:tcPr>
          <w:p w:rsidR="00000000" w:rsidP="00A10404">
            <w:pPr>
              <w:pStyle w:val="BodyText"/>
              <w:rPr>
                <w:lang w:val="en-NZ"/>
              </w:rPr>
            </w:pPr>
            <w:r w:rsidRPr="00A10404">
              <w:t>3.1</w:t>
            </w:r>
          </w:p>
        </w:tc>
        <w:tc>
          <w:tcPr>
            <w:tcW w:w="5776" w:type="dxa"/>
            <w:tcBorders>
              <w:top w:val="nil"/>
              <w:left w:val="nil"/>
              <w:bottom w:val="nil"/>
              <w:right w:val="nil"/>
            </w:tcBorders>
            <w:tcMar>
              <w:top w:w="0" w:type="dxa"/>
              <w:left w:w="62" w:type="dxa"/>
              <w:bottom w:w="0" w:type="dxa"/>
              <w:right w:w="62" w:type="dxa"/>
            </w:tcMar>
          </w:tcPr>
          <w:p w:rsidR="00000000" w:rsidP="00A10404">
            <w:pPr>
              <w:pStyle w:val="BodyText"/>
              <w:rPr>
                <w:lang w:val="en-NZ"/>
              </w:rPr>
            </w:pPr>
            <w:r w:rsidRPr="00A10404">
              <w:t>Site safety hazards are recognised and corrective action taken to reduce injury to self and others including working at heights and on scaffolding</w:t>
            </w:r>
          </w:p>
        </w:tc>
      </w:tr>
      <w:tr w:rsidTr="00A10404">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A10404">
            <w:pPr>
              <w:pStyle w:val="BodyText"/>
              <w:rPr>
                <w:lang w:val="en-NZ"/>
              </w:rPr>
            </w:pPr>
            <w:r w:rsidRPr="00A10404">
              <w:t>3.2</w:t>
            </w:r>
          </w:p>
        </w:tc>
        <w:tc>
          <w:tcPr>
            <w:tcW w:w="5776" w:type="dxa"/>
            <w:tcBorders>
              <w:top w:val="nil"/>
              <w:left w:val="nil"/>
              <w:bottom w:val="nil"/>
              <w:right w:val="nil"/>
            </w:tcBorders>
            <w:tcMar>
              <w:top w:w="0" w:type="dxa"/>
              <w:left w:w="62" w:type="dxa"/>
              <w:bottom w:w="0" w:type="dxa"/>
              <w:right w:w="62" w:type="dxa"/>
            </w:tcMar>
          </w:tcPr>
          <w:p w:rsidR="00000000" w:rsidP="00A10404">
            <w:pPr>
              <w:pStyle w:val="BodyText"/>
              <w:rPr>
                <w:lang w:val="en-NZ"/>
              </w:rPr>
            </w:pPr>
            <w:r w:rsidRPr="00A10404">
              <w:t xml:space="preserve">Other on-site difficulties are recognised and corrective </w:t>
            </w:r>
            <w:r w:rsidRPr="00A10404">
              <w:t>action taken in accordance with regulations and glazing requirements</w:t>
            </w:r>
          </w:p>
        </w:tc>
      </w:tr>
      <w:tr w:rsidTr="00A10404">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A10404">
            <w:pPr>
              <w:pStyle w:val="BodyText"/>
              <w:rPr>
                <w:lang w:val="en-NZ"/>
              </w:rPr>
            </w:pPr>
            <w:r w:rsidRPr="00A10404">
              <w:t>3.3</w:t>
            </w:r>
          </w:p>
        </w:tc>
        <w:tc>
          <w:tcPr>
            <w:tcW w:w="5776" w:type="dxa"/>
            <w:tcBorders>
              <w:top w:val="nil"/>
              <w:left w:val="nil"/>
              <w:bottom w:val="nil"/>
              <w:right w:val="nil"/>
            </w:tcBorders>
            <w:tcMar>
              <w:top w:w="0" w:type="dxa"/>
              <w:left w:w="62" w:type="dxa"/>
              <w:bottom w:w="0" w:type="dxa"/>
              <w:right w:w="62" w:type="dxa"/>
            </w:tcMar>
          </w:tcPr>
          <w:p w:rsidR="00000000" w:rsidP="00A10404">
            <w:pPr>
              <w:pStyle w:val="BodyText"/>
              <w:rPr>
                <w:lang w:val="en-NZ"/>
              </w:rPr>
            </w:pPr>
            <w:r w:rsidRPr="00A10404">
              <w:t>Covering material is applied, where necessary, to protect existing fixtures and fittings</w:t>
            </w:r>
          </w:p>
        </w:tc>
      </w:tr>
      <w:tr w:rsidTr="00A10404">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A10404">
            <w:pPr>
              <w:pStyle w:val="BodyText"/>
              <w:rPr>
                <w:lang w:val="en-NZ"/>
              </w:rPr>
            </w:pPr>
            <w:r w:rsidRPr="00A10404">
              <w:t>3.4</w:t>
            </w:r>
          </w:p>
        </w:tc>
        <w:tc>
          <w:tcPr>
            <w:tcW w:w="5776" w:type="dxa"/>
            <w:tcBorders>
              <w:top w:val="nil"/>
              <w:left w:val="nil"/>
              <w:bottom w:val="nil"/>
              <w:right w:val="nil"/>
            </w:tcBorders>
            <w:tcMar>
              <w:top w:w="0" w:type="dxa"/>
              <w:left w:w="62" w:type="dxa"/>
              <w:bottom w:w="0" w:type="dxa"/>
              <w:right w:w="62" w:type="dxa"/>
            </w:tcMar>
          </w:tcPr>
          <w:p w:rsidR="00000000" w:rsidP="00A10404">
            <w:pPr>
              <w:pStyle w:val="BodyText"/>
              <w:rPr>
                <w:lang w:val="en-NZ"/>
              </w:rPr>
            </w:pPr>
            <w:r w:rsidRPr="00A10404">
              <w:t xml:space="preserve">Special characteristics of the window or door which may affect the finished job are </w:t>
            </w:r>
            <w:r w:rsidRPr="00A10404">
              <w:t>identified and corrective action taken</w:t>
            </w:r>
          </w:p>
        </w:tc>
      </w:tr>
      <w:tr w:rsidTr="00A10404">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rsidP="00A10404">
            <w:pPr>
              <w:pStyle w:val="BodyText"/>
              <w:rPr>
                <w:lang w:val="en-NZ"/>
              </w:rPr>
            </w:pPr>
            <w:r w:rsidRPr="00A10404">
              <w:t>4</w:t>
            </w:r>
          </w:p>
        </w:tc>
        <w:tc>
          <w:tcPr>
            <w:tcW w:w="2129" w:type="dxa"/>
            <w:tcBorders>
              <w:top w:val="nil"/>
              <w:left w:val="nil"/>
              <w:bottom w:val="nil"/>
              <w:right w:val="nil"/>
            </w:tcBorders>
            <w:tcMar>
              <w:top w:w="0" w:type="dxa"/>
              <w:left w:w="62" w:type="dxa"/>
              <w:bottom w:w="0" w:type="dxa"/>
              <w:right w:w="62" w:type="dxa"/>
            </w:tcMar>
          </w:tcPr>
          <w:p w:rsidR="00000000" w:rsidP="00A10404">
            <w:pPr>
              <w:pStyle w:val="BodyText"/>
              <w:rPr>
                <w:lang w:val="en-NZ"/>
              </w:rPr>
            </w:pPr>
            <w:r w:rsidRPr="00A10404">
              <w:t>Prepare frame and materials</w:t>
            </w:r>
          </w:p>
        </w:tc>
        <w:tc>
          <w:tcPr>
            <w:tcW w:w="751" w:type="dxa"/>
            <w:tcBorders>
              <w:top w:val="nil"/>
              <w:left w:val="nil"/>
              <w:bottom w:val="nil"/>
              <w:right w:val="nil"/>
            </w:tcBorders>
            <w:tcMar>
              <w:top w:w="0" w:type="dxa"/>
              <w:left w:w="62" w:type="dxa"/>
              <w:bottom w:w="0" w:type="dxa"/>
              <w:right w:w="62" w:type="dxa"/>
            </w:tcMar>
          </w:tcPr>
          <w:p w:rsidR="00000000" w:rsidP="00A10404">
            <w:pPr>
              <w:pStyle w:val="BodyText"/>
              <w:rPr>
                <w:lang w:val="en-NZ"/>
              </w:rPr>
            </w:pPr>
            <w:r w:rsidRPr="00A10404">
              <w:t>4.1</w:t>
            </w:r>
          </w:p>
        </w:tc>
        <w:tc>
          <w:tcPr>
            <w:tcW w:w="5776" w:type="dxa"/>
            <w:tcBorders>
              <w:top w:val="nil"/>
              <w:left w:val="nil"/>
              <w:bottom w:val="nil"/>
              <w:right w:val="nil"/>
            </w:tcBorders>
            <w:tcMar>
              <w:top w:w="0" w:type="dxa"/>
              <w:left w:w="62" w:type="dxa"/>
              <w:bottom w:w="0" w:type="dxa"/>
              <w:right w:w="62" w:type="dxa"/>
            </w:tcMar>
          </w:tcPr>
          <w:p w:rsidR="00000000" w:rsidP="00A10404">
            <w:pPr>
              <w:pStyle w:val="BodyText"/>
              <w:rPr>
                <w:lang w:val="en-NZ"/>
              </w:rPr>
            </w:pPr>
            <w:r w:rsidRPr="00A10404">
              <w:t>Frame condition, if applicable, is assessed to ensure suitability for re-glazing in accordance with customer requirements and Australian Standards</w:t>
            </w:r>
          </w:p>
        </w:tc>
      </w:tr>
      <w:tr w:rsidTr="00A10404">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A10404">
            <w:pPr>
              <w:pStyle w:val="BodyText"/>
              <w:rPr>
                <w:lang w:val="en-NZ"/>
              </w:rPr>
            </w:pPr>
            <w:r w:rsidRPr="00A10404">
              <w:t>4.2</w:t>
            </w:r>
          </w:p>
        </w:tc>
        <w:tc>
          <w:tcPr>
            <w:tcW w:w="5776" w:type="dxa"/>
            <w:tcBorders>
              <w:top w:val="nil"/>
              <w:left w:val="nil"/>
              <w:bottom w:val="nil"/>
              <w:right w:val="nil"/>
            </w:tcBorders>
            <w:tcMar>
              <w:top w:w="0" w:type="dxa"/>
              <w:left w:w="62" w:type="dxa"/>
              <w:bottom w:w="0" w:type="dxa"/>
              <w:right w:w="62" w:type="dxa"/>
            </w:tcMar>
          </w:tcPr>
          <w:p w:rsidR="00000000" w:rsidP="00A10404">
            <w:pPr>
              <w:pStyle w:val="BodyText"/>
              <w:rPr>
                <w:lang w:val="en-NZ"/>
              </w:rPr>
            </w:pPr>
            <w:r w:rsidRPr="00A10404">
              <w:t>Defective frames are reported for repair or replacement in accordance with workplace procedures</w:t>
            </w:r>
          </w:p>
        </w:tc>
      </w:tr>
      <w:tr w:rsidTr="00A10404">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A10404">
            <w:pPr>
              <w:pStyle w:val="BodyText"/>
              <w:rPr>
                <w:lang w:val="en-NZ"/>
              </w:rPr>
            </w:pPr>
            <w:r w:rsidRPr="00A10404">
              <w:t>4.3</w:t>
            </w:r>
          </w:p>
        </w:tc>
        <w:tc>
          <w:tcPr>
            <w:tcW w:w="5776" w:type="dxa"/>
            <w:tcBorders>
              <w:top w:val="nil"/>
              <w:left w:val="nil"/>
              <w:bottom w:val="nil"/>
              <w:right w:val="nil"/>
            </w:tcBorders>
            <w:tcMar>
              <w:top w:w="0" w:type="dxa"/>
              <w:left w:w="62" w:type="dxa"/>
              <w:bottom w:w="0" w:type="dxa"/>
              <w:right w:w="62" w:type="dxa"/>
            </w:tcMar>
          </w:tcPr>
          <w:p w:rsidR="00000000" w:rsidP="00A10404">
            <w:pPr>
              <w:pStyle w:val="BodyText"/>
              <w:rPr>
                <w:lang w:val="en-NZ"/>
              </w:rPr>
            </w:pPr>
            <w:r w:rsidRPr="00A10404">
              <w:t xml:space="preserve">Frame is prepared, if required, to receive glass </w:t>
            </w:r>
          </w:p>
        </w:tc>
      </w:tr>
      <w:tr w:rsidTr="00A10404">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A10404">
            <w:pPr>
              <w:pStyle w:val="BodyText"/>
              <w:rPr>
                <w:lang w:val="en-NZ"/>
              </w:rPr>
            </w:pPr>
            <w:r w:rsidRPr="00A10404">
              <w:t>4.4</w:t>
            </w:r>
          </w:p>
        </w:tc>
        <w:tc>
          <w:tcPr>
            <w:tcW w:w="5776" w:type="dxa"/>
            <w:tcBorders>
              <w:top w:val="nil"/>
              <w:left w:val="nil"/>
              <w:bottom w:val="nil"/>
              <w:right w:val="nil"/>
            </w:tcBorders>
            <w:tcMar>
              <w:top w:w="0" w:type="dxa"/>
              <w:left w:w="62" w:type="dxa"/>
              <w:bottom w:w="0" w:type="dxa"/>
              <w:right w:w="62" w:type="dxa"/>
            </w:tcMar>
          </w:tcPr>
          <w:p w:rsidR="00000000" w:rsidP="00A10404">
            <w:pPr>
              <w:pStyle w:val="BodyText"/>
              <w:rPr>
                <w:lang w:val="en-NZ"/>
              </w:rPr>
            </w:pPr>
            <w:r w:rsidRPr="00A10404">
              <w:t>Fixing and sealing materials are prepared by mixing or cutting to length, as appropriate</w:t>
            </w:r>
          </w:p>
        </w:tc>
      </w:tr>
      <w:tr w:rsidTr="00A10404">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rsidP="00A10404">
            <w:pPr>
              <w:pStyle w:val="BodyText"/>
              <w:rPr>
                <w:lang w:val="en-NZ"/>
              </w:rPr>
            </w:pPr>
            <w:r w:rsidRPr="00A10404">
              <w:t>5</w:t>
            </w:r>
          </w:p>
        </w:tc>
        <w:tc>
          <w:tcPr>
            <w:tcW w:w="2129" w:type="dxa"/>
            <w:tcBorders>
              <w:top w:val="nil"/>
              <w:left w:val="nil"/>
              <w:bottom w:val="nil"/>
              <w:right w:val="nil"/>
            </w:tcBorders>
            <w:tcMar>
              <w:top w:w="0" w:type="dxa"/>
              <w:left w:w="62" w:type="dxa"/>
              <w:bottom w:w="0" w:type="dxa"/>
              <w:right w:w="62" w:type="dxa"/>
            </w:tcMar>
          </w:tcPr>
          <w:p w:rsidR="00000000" w:rsidP="00A10404">
            <w:pPr>
              <w:pStyle w:val="BodyText"/>
              <w:rPr>
                <w:lang w:val="en-NZ"/>
              </w:rPr>
            </w:pPr>
            <w:r w:rsidRPr="00A10404">
              <w:t>Fit glass</w:t>
            </w:r>
          </w:p>
        </w:tc>
        <w:tc>
          <w:tcPr>
            <w:tcW w:w="751" w:type="dxa"/>
            <w:tcBorders>
              <w:top w:val="nil"/>
              <w:left w:val="nil"/>
              <w:bottom w:val="nil"/>
              <w:right w:val="nil"/>
            </w:tcBorders>
            <w:tcMar>
              <w:top w:w="0" w:type="dxa"/>
              <w:left w:w="62" w:type="dxa"/>
              <w:bottom w:w="0" w:type="dxa"/>
              <w:right w:w="62" w:type="dxa"/>
            </w:tcMar>
          </w:tcPr>
          <w:p w:rsidR="00000000" w:rsidP="00A10404">
            <w:pPr>
              <w:pStyle w:val="BodyText"/>
              <w:rPr>
                <w:lang w:val="en-NZ"/>
              </w:rPr>
            </w:pPr>
            <w:r w:rsidRPr="00A10404">
              <w:t>5.1</w:t>
            </w:r>
          </w:p>
        </w:tc>
        <w:tc>
          <w:tcPr>
            <w:tcW w:w="5776" w:type="dxa"/>
            <w:tcBorders>
              <w:top w:val="nil"/>
              <w:left w:val="nil"/>
              <w:bottom w:val="nil"/>
              <w:right w:val="nil"/>
            </w:tcBorders>
            <w:tcMar>
              <w:top w:w="0" w:type="dxa"/>
              <w:left w:w="62" w:type="dxa"/>
              <w:bottom w:w="0" w:type="dxa"/>
              <w:right w:w="62" w:type="dxa"/>
            </w:tcMar>
          </w:tcPr>
          <w:p w:rsidR="00000000" w:rsidP="00A10404">
            <w:pPr>
              <w:pStyle w:val="BodyText"/>
              <w:rPr>
                <w:lang w:val="en-NZ"/>
              </w:rPr>
            </w:pPr>
            <w:r w:rsidRPr="00A10404">
              <w:t>Glass is fixed to the frame using the selected method and in accordance with recognised industry procedures and Australian Standards</w:t>
            </w:r>
          </w:p>
        </w:tc>
      </w:tr>
      <w:tr w:rsidTr="00A10404">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A10404">
            <w:pPr>
              <w:pStyle w:val="BodyText"/>
              <w:rPr>
                <w:lang w:val="en-NZ"/>
              </w:rPr>
            </w:pPr>
            <w:r w:rsidRPr="00A10404">
              <w:t>5.2</w:t>
            </w:r>
          </w:p>
        </w:tc>
        <w:tc>
          <w:tcPr>
            <w:tcW w:w="5776" w:type="dxa"/>
            <w:tcBorders>
              <w:top w:val="nil"/>
              <w:left w:val="nil"/>
              <w:bottom w:val="nil"/>
              <w:right w:val="nil"/>
            </w:tcBorders>
            <w:tcMar>
              <w:top w:w="0" w:type="dxa"/>
              <w:left w:w="62" w:type="dxa"/>
              <w:bottom w:w="0" w:type="dxa"/>
              <w:right w:w="62" w:type="dxa"/>
            </w:tcMar>
          </w:tcPr>
          <w:p w:rsidR="00000000" w:rsidP="00A10404">
            <w:pPr>
              <w:pStyle w:val="BodyText"/>
              <w:rPr>
                <w:lang w:val="en-NZ"/>
              </w:rPr>
            </w:pPr>
            <w:r w:rsidRPr="00A10404">
              <w:t xml:space="preserve">Solvents and sealants are used in accordance with </w:t>
            </w:r>
            <w:r w:rsidRPr="00A10404">
              <w:t>manufacturer recommendations and Australian Standard</w:t>
            </w:r>
            <w:r w:rsidRPr="00A10404">
              <w:t>s</w:t>
            </w:r>
          </w:p>
        </w:tc>
      </w:tr>
      <w:tr w:rsidTr="00A10404">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A10404">
            <w:pPr>
              <w:pStyle w:val="BodyText"/>
              <w:rPr>
                <w:lang w:val="en-NZ"/>
              </w:rPr>
            </w:pPr>
            <w:r w:rsidRPr="00A10404">
              <w:t>5.3</w:t>
            </w:r>
          </w:p>
        </w:tc>
        <w:tc>
          <w:tcPr>
            <w:tcW w:w="5776" w:type="dxa"/>
            <w:tcBorders>
              <w:top w:val="nil"/>
              <w:left w:val="nil"/>
              <w:bottom w:val="nil"/>
              <w:right w:val="nil"/>
            </w:tcBorders>
            <w:tcMar>
              <w:top w:w="0" w:type="dxa"/>
              <w:left w:w="62" w:type="dxa"/>
              <w:bottom w:w="0" w:type="dxa"/>
              <w:right w:w="62" w:type="dxa"/>
            </w:tcMar>
          </w:tcPr>
          <w:p w:rsidR="00000000" w:rsidP="00A10404">
            <w:pPr>
              <w:pStyle w:val="BodyText"/>
              <w:rPr>
                <w:lang w:val="en-NZ"/>
              </w:rPr>
            </w:pPr>
            <w:r w:rsidRPr="00A10404">
              <w:t>Excess sealing material is removed and glass and frame cleaned after fixing</w:t>
            </w:r>
          </w:p>
        </w:tc>
      </w:tr>
      <w:tr w:rsidTr="00A10404">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rsidP="00A10404">
            <w:pPr>
              <w:pStyle w:val="BodyText"/>
              <w:rPr>
                <w:lang w:val="en-NZ"/>
              </w:rPr>
            </w:pPr>
            <w:r w:rsidRPr="00A10404">
              <w:t>6</w:t>
            </w:r>
          </w:p>
        </w:tc>
        <w:tc>
          <w:tcPr>
            <w:tcW w:w="2129" w:type="dxa"/>
            <w:tcBorders>
              <w:top w:val="nil"/>
              <w:left w:val="nil"/>
              <w:bottom w:val="nil"/>
              <w:right w:val="nil"/>
            </w:tcBorders>
            <w:tcMar>
              <w:top w:w="0" w:type="dxa"/>
              <w:left w:w="62" w:type="dxa"/>
              <w:bottom w:w="0" w:type="dxa"/>
              <w:right w:w="62" w:type="dxa"/>
            </w:tcMar>
          </w:tcPr>
          <w:p w:rsidR="00000000" w:rsidP="00A10404">
            <w:pPr>
              <w:pStyle w:val="BodyText"/>
              <w:rPr>
                <w:lang w:val="en-NZ"/>
              </w:rPr>
            </w:pPr>
            <w:r w:rsidRPr="00A10404">
              <w:t>Inspect final product and clean up work area</w:t>
            </w:r>
          </w:p>
        </w:tc>
        <w:tc>
          <w:tcPr>
            <w:tcW w:w="751" w:type="dxa"/>
            <w:tcBorders>
              <w:top w:val="nil"/>
              <w:left w:val="nil"/>
              <w:bottom w:val="nil"/>
              <w:right w:val="nil"/>
            </w:tcBorders>
            <w:tcMar>
              <w:top w:w="0" w:type="dxa"/>
              <w:left w:w="62" w:type="dxa"/>
              <w:bottom w:w="0" w:type="dxa"/>
              <w:right w:w="62" w:type="dxa"/>
            </w:tcMar>
          </w:tcPr>
          <w:p w:rsidR="00000000" w:rsidP="00A10404">
            <w:pPr>
              <w:pStyle w:val="BodyText"/>
              <w:rPr>
                <w:lang w:val="en-NZ"/>
              </w:rPr>
            </w:pPr>
            <w:r w:rsidRPr="00A10404">
              <w:t>6.1</w:t>
            </w:r>
          </w:p>
        </w:tc>
        <w:tc>
          <w:tcPr>
            <w:tcW w:w="5776" w:type="dxa"/>
            <w:tcBorders>
              <w:top w:val="nil"/>
              <w:left w:val="nil"/>
              <w:bottom w:val="nil"/>
              <w:right w:val="nil"/>
            </w:tcBorders>
            <w:tcMar>
              <w:top w:w="0" w:type="dxa"/>
              <w:left w:w="62" w:type="dxa"/>
              <w:bottom w:w="0" w:type="dxa"/>
              <w:right w:w="62" w:type="dxa"/>
            </w:tcMar>
          </w:tcPr>
          <w:p w:rsidR="00000000" w:rsidP="00A10404">
            <w:pPr>
              <w:pStyle w:val="BodyText"/>
              <w:rPr>
                <w:lang w:val="en-NZ"/>
              </w:rPr>
            </w:pPr>
            <w:r w:rsidRPr="00A10404">
              <w:t>Completed installation is checked to ensure compliance with customer requirements, specifications and Australian Standa</w:t>
            </w:r>
            <w:r w:rsidRPr="00A10404">
              <w:t>rds</w:t>
            </w:r>
          </w:p>
        </w:tc>
      </w:tr>
      <w:tr w:rsidTr="00A10404">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A10404">
            <w:pPr>
              <w:pStyle w:val="BodyText"/>
              <w:rPr>
                <w:lang w:val="en-NZ"/>
              </w:rPr>
            </w:pPr>
            <w:r w:rsidRPr="00A10404">
              <w:t>6.2</w:t>
            </w:r>
          </w:p>
        </w:tc>
        <w:tc>
          <w:tcPr>
            <w:tcW w:w="5776" w:type="dxa"/>
            <w:tcBorders>
              <w:top w:val="nil"/>
              <w:left w:val="nil"/>
              <w:bottom w:val="nil"/>
              <w:right w:val="nil"/>
            </w:tcBorders>
            <w:tcMar>
              <w:top w:w="0" w:type="dxa"/>
              <w:left w:w="62" w:type="dxa"/>
              <w:bottom w:w="0" w:type="dxa"/>
              <w:right w:w="62" w:type="dxa"/>
            </w:tcMar>
          </w:tcPr>
          <w:p w:rsidR="00000000" w:rsidP="00A10404">
            <w:pPr>
              <w:pStyle w:val="BodyText"/>
              <w:rPr>
                <w:lang w:val="en-NZ"/>
              </w:rPr>
            </w:pPr>
            <w:r w:rsidRPr="00A10404">
              <w:t>Work area is cleaned and left in a safe condition and rubbish removed from work area and disposed of in accordance with relevant statutory requirements and enterprise requirements</w:t>
            </w:r>
          </w:p>
        </w:tc>
      </w:tr>
      <w:tr w:rsidTr="00A10404">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A10404">
            <w:pPr>
              <w:pStyle w:val="BodyText"/>
              <w:rPr>
                <w:lang w:val="en-NZ"/>
              </w:rPr>
            </w:pPr>
            <w:r w:rsidRPr="00A10404">
              <w:t>6.3</w:t>
            </w:r>
          </w:p>
        </w:tc>
        <w:tc>
          <w:tcPr>
            <w:tcW w:w="5776" w:type="dxa"/>
            <w:tcBorders>
              <w:top w:val="nil"/>
              <w:left w:val="nil"/>
              <w:bottom w:val="nil"/>
              <w:right w:val="nil"/>
            </w:tcBorders>
            <w:tcMar>
              <w:top w:w="0" w:type="dxa"/>
              <w:left w:w="62" w:type="dxa"/>
              <w:bottom w:w="0" w:type="dxa"/>
              <w:right w:w="62" w:type="dxa"/>
            </w:tcMar>
          </w:tcPr>
          <w:p w:rsidR="00000000" w:rsidP="00A10404">
            <w:pPr>
              <w:pStyle w:val="BodyText"/>
              <w:rPr>
                <w:lang w:val="en-NZ"/>
              </w:rPr>
            </w:pPr>
            <w:r w:rsidRPr="00A10404">
              <w:t>Tools, equipment and materia</w:t>
            </w:r>
            <w:r w:rsidRPr="00A10404">
              <w:t>ls are cleaned and stored following workplace procedures</w:t>
            </w:r>
          </w:p>
        </w:tc>
      </w:tr>
      <w:tr w:rsidTr="00A10404">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A10404">
            <w:pPr>
              <w:pStyle w:val="BodyText"/>
              <w:rPr>
                <w:lang w:val="en-NZ"/>
              </w:rPr>
            </w:pPr>
            <w:r w:rsidRPr="00A10404">
              <w:t>6.4</w:t>
            </w:r>
          </w:p>
        </w:tc>
        <w:tc>
          <w:tcPr>
            <w:tcW w:w="5776" w:type="dxa"/>
            <w:tcBorders>
              <w:top w:val="nil"/>
              <w:left w:val="nil"/>
              <w:bottom w:val="nil"/>
              <w:right w:val="nil"/>
            </w:tcBorders>
            <w:tcMar>
              <w:top w:w="0" w:type="dxa"/>
              <w:left w:w="62" w:type="dxa"/>
              <w:bottom w:w="0" w:type="dxa"/>
              <w:right w:w="62" w:type="dxa"/>
            </w:tcMar>
          </w:tcPr>
          <w:p w:rsidR="00000000" w:rsidP="00A10404">
            <w:pPr>
              <w:pStyle w:val="BodyText"/>
              <w:rPr>
                <w:lang w:val="en-NZ"/>
              </w:rPr>
            </w:pPr>
            <w:r w:rsidRPr="00A10404">
              <w:t>Waste and scrap material are removed for disposal or recycling, as required</w:t>
            </w:r>
          </w:p>
        </w:tc>
      </w:tr>
      <w:tr w:rsidTr="00A10404">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A10404">
            <w:pPr>
              <w:pStyle w:val="BodyText"/>
              <w:rPr>
                <w:lang w:val="en-NZ"/>
              </w:rPr>
            </w:pPr>
            <w:r w:rsidRPr="00A10404">
              <w:t>6.5</w:t>
            </w:r>
          </w:p>
        </w:tc>
        <w:tc>
          <w:tcPr>
            <w:tcW w:w="5776" w:type="dxa"/>
            <w:tcBorders>
              <w:top w:val="nil"/>
              <w:left w:val="nil"/>
              <w:bottom w:val="nil"/>
              <w:right w:val="nil"/>
            </w:tcBorders>
            <w:tcMar>
              <w:top w:w="0" w:type="dxa"/>
              <w:left w:w="62" w:type="dxa"/>
              <w:bottom w:w="0" w:type="dxa"/>
              <w:right w:w="62" w:type="dxa"/>
            </w:tcMar>
          </w:tcPr>
          <w:p w:rsidR="00000000" w:rsidRPr="00A10404" w:rsidP="00A10404">
            <w:pPr>
              <w:pStyle w:val="BodyText"/>
            </w:pPr>
            <w:r w:rsidRPr="00A10404">
              <w:t>Workplace documentation is completed in accordance with workplace requirements, including calculating the cos</w:t>
            </w:r>
            <w:r w:rsidRPr="00A10404">
              <w:t>t of glass, fittings, materials and labour</w:t>
            </w:r>
          </w:p>
        </w:tc>
      </w:tr>
    </w:tbl>
    <w:p w:rsidR="00000000" w:rsidRPr="00A10404" w:rsidP="00A10404">
      <w:pPr>
        <w:pStyle w:val="BodyText"/>
      </w:pPr>
    </w:p>
    <w:p w:rsidR="00000000" w:rsidRPr="00A10404" w:rsidP="00A10404">
      <w:pPr>
        <w:pStyle w:val="AllowPageBreak"/>
      </w:pPr>
    </w:p>
    <w:p w:rsidR="00000000" w:rsidRPr="00A10404" w:rsidP="00A10404">
      <w:pPr>
        <w:pStyle w:val="Heading1"/>
      </w:pPr>
      <w:bookmarkStart w:id="7" w:name="O_632964"/>
      <w:bookmarkEnd w:id="7"/>
      <w:r w:rsidRPr="00A10404">
        <w:t>Foundation Skills</w:t>
      </w:r>
    </w:p>
    <w:p w:rsidR="00000000" w:rsidRPr="00A10404" w:rsidP="00A10404">
      <w:pPr>
        <w:pStyle w:val="BodyText"/>
      </w:pPr>
      <w:r w:rsidRPr="00A10404">
        <w:t>Foundation skills essential to performance are explicit in the performance criteria of this unit of competency. Detail on appropriate performance levels for each furnishing uni</w:t>
      </w:r>
      <w:r w:rsidRPr="00A10404">
        <w:t>t of competency in reading, writing, oral communication and numeracy utilising the Australian Core Skills Framework (ACSF) are provided in the Furnishing Training Package Implementation Guide.</w:t>
      </w:r>
    </w:p>
    <w:p w:rsidR="00000000" w:rsidRPr="00A10404" w:rsidP="00A10404">
      <w:pPr>
        <w:pStyle w:val="AllowPageBreak"/>
      </w:pPr>
    </w:p>
    <w:p w:rsidR="00000000" w:rsidRPr="00A10404" w:rsidP="00A10404">
      <w:pPr>
        <w:pStyle w:val="Heading1"/>
      </w:pPr>
      <w:bookmarkStart w:id="8" w:name="O_632963"/>
      <w:bookmarkEnd w:id="8"/>
      <w:r w:rsidRPr="00A10404">
        <w:t>Range of Conditions</w:t>
      </w:r>
    </w:p>
    <w:tbl>
      <w:tblPr>
        <w:tblW w:w="0" w:type="auto"/>
        <w:tblLayout w:type="fixed"/>
        <w:tblCellMar>
          <w:left w:w="62" w:type="dxa"/>
          <w:right w:w="62" w:type="dxa"/>
        </w:tblCellMar>
        <w:tblLook w:val="0000"/>
      </w:tblPr>
      <w:tblGrid>
        <w:gridCol w:w="2760"/>
        <w:gridCol w:w="6312"/>
      </w:tblGrid>
      <w:tr w:rsidTr="00A10404">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10404">
            <w:pPr>
              <w:pStyle w:val="BodyText"/>
              <w:rPr>
                <w:lang w:val="en-NZ"/>
              </w:rPr>
            </w:pPr>
            <w:r w:rsidRPr="00A10404">
              <w:t>Specifies different work environments and conditions that may affect performance. Essential operating conditions that may be present (depending on the work situation, needs of the candidate, accessibility of the item, and local industry and regional contex</w:t>
            </w:r>
            <w:r w:rsidRPr="00A10404">
              <w:t>ts) are included. Range is restricted to essential operating conditions and any other variables essential to the work environment.</w:t>
            </w:r>
          </w:p>
        </w:tc>
      </w:tr>
      <w:tr w:rsidTr="00A10404">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A10404">
            <w:pPr>
              <w:pStyle w:val="BodyText"/>
              <w:rPr>
                <w:lang w:val="en-NZ"/>
              </w:rPr>
            </w:pPr>
            <w:r w:rsidRPr="00A10404">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A10404" w:rsidP="00A10404">
            <w:pPr>
              <w:pStyle w:val="ListBullet"/>
            </w:pPr>
            <w:r w:rsidRPr="00A10404">
              <w:t>WHS requirements, including legislation, building codes, material safety management systems, hazard</w:t>
            </w:r>
            <w:r w:rsidRPr="00A10404">
              <w:t xml:space="preserve">ous and dangerous goods codes, and local safe operating procedures or equivalent </w:t>
            </w:r>
          </w:p>
          <w:p w:rsidR="00000000" w:rsidRPr="00A10404" w:rsidP="00A10404">
            <w:pPr>
              <w:pStyle w:val="ListBullet"/>
            </w:pPr>
            <w:r w:rsidRPr="00A10404">
              <w:t xml:space="preserve">work is carried out in accordance with legislative obligations, environmental legislation, relevant health regulations, manual handling procedures and organisation insurance </w:t>
            </w:r>
            <w:r w:rsidRPr="00A10404">
              <w:t>requirements</w:t>
            </w:r>
          </w:p>
          <w:p w:rsidR="00000000" w:rsidP="00A10404">
            <w:pPr>
              <w:pStyle w:val="ListBullet"/>
              <w:rPr>
                <w:lang w:val="en-NZ"/>
              </w:rPr>
            </w:pPr>
            <w:r w:rsidRPr="00A10404">
              <w:t xml:space="preserve">work requires individuals to demonstrate some discretion, judgement and problem solving </w:t>
            </w:r>
          </w:p>
        </w:tc>
      </w:tr>
      <w:tr w:rsidTr="00A10404">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A10404">
            <w:pPr>
              <w:pStyle w:val="BodyText"/>
              <w:rPr>
                <w:lang w:val="en-NZ"/>
              </w:rPr>
            </w:pPr>
            <w:r w:rsidRPr="00A10404">
              <w:rPr>
                <w:rStyle w:val="SpecialBold"/>
              </w:rPr>
              <w:t>Types of glass include:</w:t>
            </w:r>
          </w:p>
        </w:tc>
        <w:tc>
          <w:tcPr>
            <w:tcW w:w="6312" w:type="dxa"/>
            <w:tcBorders>
              <w:top w:val="nil"/>
              <w:left w:val="nil"/>
              <w:bottom w:val="nil"/>
              <w:right w:val="nil"/>
            </w:tcBorders>
            <w:tcMar>
              <w:top w:w="0" w:type="dxa"/>
              <w:left w:w="62" w:type="dxa"/>
              <w:bottom w:w="0" w:type="dxa"/>
              <w:right w:w="62" w:type="dxa"/>
            </w:tcMar>
          </w:tcPr>
          <w:p w:rsidR="00000000" w:rsidRPr="00A10404" w:rsidP="00A10404">
            <w:pPr>
              <w:pStyle w:val="ListBullet"/>
            </w:pPr>
            <w:r w:rsidRPr="00A10404">
              <w:t>annealed glass</w:t>
            </w:r>
          </w:p>
          <w:p w:rsidR="00000000" w:rsidRPr="00A10404" w:rsidP="00A10404">
            <w:pPr>
              <w:pStyle w:val="ListBullet"/>
            </w:pPr>
            <w:r w:rsidRPr="00A10404">
              <w:t>toughened glass</w:t>
            </w:r>
          </w:p>
          <w:p w:rsidR="00000000" w:rsidRPr="00A10404" w:rsidP="00A10404">
            <w:pPr>
              <w:pStyle w:val="ListBullet"/>
            </w:pPr>
            <w:r w:rsidRPr="00A10404">
              <w:t>laminated glass</w:t>
            </w:r>
          </w:p>
          <w:p w:rsidR="00000000" w:rsidRPr="00A10404" w:rsidP="00A10404">
            <w:pPr>
              <w:pStyle w:val="ListBullet"/>
            </w:pPr>
            <w:r w:rsidRPr="00A10404">
              <w:t>wired glass</w:t>
            </w:r>
          </w:p>
          <w:p w:rsidR="00000000" w:rsidRPr="00A10404" w:rsidP="00A10404">
            <w:pPr>
              <w:pStyle w:val="ListBullet"/>
            </w:pPr>
            <w:r w:rsidRPr="00A10404">
              <w:t>bandit-resistant glass</w:t>
            </w:r>
          </w:p>
          <w:p w:rsidR="00000000" w:rsidRPr="00A10404" w:rsidP="00A10404">
            <w:pPr>
              <w:pStyle w:val="ListBullet"/>
            </w:pPr>
            <w:r w:rsidRPr="00A10404">
              <w:t>bullet-resistant glass</w:t>
            </w:r>
          </w:p>
          <w:p w:rsidR="00000000" w:rsidRPr="00A10404" w:rsidP="00A10404">
            <w:pPr>
              <w:pStyle w:val="ListBullet"/>
            </w:pPr>
            <w:r w:rsidRPr="00A10404">
              <w:t>heat-reflective glass</w:t>
            </w:r>
          </w:p>
          <w:p w:rsidR="00000000" w:rsidRPr="00A10404" w:rsidP="00A10404">
            <w:pPr>
              <w:pStyle w:val="ListBullet"/>
            </w:pPr>
            <w:r w:rsidRPr="00A10404">
              <w:t xml:space="preserve">sputter coated </w:t>
            </w:r>
          </w:p>
          <w:p w:rsidR="00000000" w:rsidP="00A10404">
            <w:pPr>
              <w:pStyle w:val="ListBullet"/>
              <w:rPr>
                <w:lang w:val="en-NZ"/>
              </w:rPr>
            </w:pPr>
            <w:r w:rsidRPr="00A10404">
              <w:t>spandral glass</w:t>
            </w:r>
          </w:p>
        </w:tc>
      </w:tr>
      <w:tr w:rsidTr="00A10404">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A10404">
            <w:pPr>
              <w:pStyle w:val="BodyText"/>
              <w:rPr>
                <w:lang w:val="en-NZ"/>
              </w:rPr>
            </w:pPr>
            <w:r w:rsidRPr="00A10404">
              <w:rPr>
                <w:rStyle w:val="SpecialBold"/>
              </w:rPr>
              <w:t>Methods of fixing include:</w:t>
            </w:r>
          </w:p>
        </w:tc>
        <w:tc>
          <w:tcPr>
            <w:tcW w:w="6312" w:type="dxa"/>
            <w:tcBorders>
              <w:top w:val="nil"/>
              <w:left w:val="nil"/>
              <w:bottom w:val="nil"/>
              <w:right w:val="nil"/>
            </w:tcBorders>
            <w:tcMar>
              <w:top w:w="0" w:type="dxa"/>
              <w:left w:w="62" w:type="dxa"/>
              <w:bottom w:w="0" w:type="dxa"/>
              <w:right w:w="62" w:type="dxa"/>
            </w:tcMar>
          </w:tcPr>
          <w:p w:rsidR="00000000" w:rsidRPr="00A10404" w:rsidP="00A10404">
            <w:pPr>
              <w:pStyle w:val="ListBullet"/>
            </w:pPr>
            <w:r w:rsidRPr="00A10404">
              <w:t>considering the specification</w:t>
            </w:r>
          </w:p>
          <w:p w:rsidR="00000000" w:rsidRPr="00A10404" w:rsidP="00A10404">
            <w:pPr>
              <w:pStyle w:val="ListBullet"/>
            </w:pPr>
            <w:r w:rsidRPr="00A10404">
              <w:t>type of glass and frame</w:t>
            </w:r>
          </w:p>
          <w:p w:rsidR="00000000" w:rsidRPr="00A10404" w:rsidP="00A10404">
            <w:pPr>
              <w:pStyle w:val="ListBullet"/>
            </w:pPr>
            <w:r w:rsidRPr="00A10404">
              <w:t>security requirements</w:t>
            </w:r>
          </w:p>
          <w:p w:rsidR="00000000" w:rsidRPr="00A10404" w:rsidP="00A10404">
            <w:pPr>
              <w:pStyle w:val="ListBullet"/>
            </w:pPr>
            <w:r w:rsidRPr="00A10404">
              <w:t>sealing methods</w:t>
            </w:r>
          </w:p>
          <w:p w:rsidR="00000000" w:rsidRPr="00A10404" w:rsidP="00A10404">
            <w:pPr>
              <w:pStyle w:val="ListBullet"/>
            </w:pPr>
            <w:r w:rsidRPr="00A10404">
              <w:t>relevant Australian Standards</w:t>
            </w:r>
          </w:p>
          <w:p w:rsidR="00000000" w:rsidRPr="00A10404" w:rsidP="00A10404">
            <w:pPr>
              <w:pStyle w:val="ListBullet"/>
            </w:pPr>
            <w:r w:rsidRPr="00A10404">
              <w:t>glazing methods:</w:t>
            </w:r>
          </w:p>
          <w:p w:rsidR="00000000" w:rsidRPr="00A10404" w:rsidP="00A10404">
            <w:pPr>
              <w:pStyle w:val="ListBullet"/>
            </w:pPr>
            <w:r w:rsidRPr="00A10404">
              <w:t>pocket</w:t>
            </w:r>
          </w:p>
          <w:p w:rsidR="00000000" w:rsidRPr="00A10404" w:rsidP="00A10404">
            <w:pPr>
              <w:pStyle w:val="ListBullet"/>
            </w:pPr>
            <w:r w:rsidRPr="00A10404">
              <w:t>flush</w:t>
            </w:r>
          </w:p>
          <w:p w:rsidR="00000000" w:rsidRPr="00A10404" w:rsidP="00A10404">
            <w:pPr>
              <w:pStyle w:val="ListBullet"/>
            </w:pPr>
            <w:r w:rsidRPr="00A10404">
              <w:t>channel glazing</w:t>
            </w:r>
          </w:p>
          <w:p w:rsidR="00000000" w:rsidP="00A10404">
            <w:pPr>
              <w:pStyle w:val="ListBullet"/>
              <w:rPr>
                <w:lang w:val="en-NZ"/>
              </w:rPr>
            </w:pPr>
            <w:r w:rsidRPr="00A10404">
              <w:t>structural and double glazing</w:t>
            </w:r>
          </w:p>
        </w:tc>
      </w:tr>
      <w:tr w:rsidTr="00A10404">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A10404">
            <w:pPr>
              <w:pStyle w:val="BodyText"/>
              <w:rPr>
                <w:lang w:val="en-NZ"/>
              </w:rPr>
            </w:pPr>
            <w:r w:rsidRPr="00A10404">
              <w:rPr>
                <w:rStyle w:val="SpecialBold"/>
              </w:rPr>
              <w:t>Fabrication and installation of commercial re-glazing includes:</w:t>
            </w:r>
          </w:p>
        </w:tc>
        <w:tc>
          <w:tcPr>
            <w:tcW w:w="6312" w:type="dxa"/>
            <w:tcBorders>
              <w:top w:val="nil"/>
              <w:left w:val="nil"/>
              <w:bottom w:val="nil"/>
              <w:right w:val="nil"/>
            </w:tcBorders>
            <w:tcMar>
              <w:top w:w="0" w:type="dxa"/>
              <w:left w:w="62" w:type="dxa"/>
              <w:bottom w:w="0" w:type="dxa"/>
              <w:right w:w="62" w:type="dxa"/>
            </w:tcMar>
          </w:tcPr>
          <w:p w:rsidR="00000000" w:rsidRPr="00A10404" w:rsidP="00A10404">
            <w:pPr>
              <w:pStyle w:val="ListBullet"/>
            </w:pPr>
            <w:r w:rsidRPr="00A10404">
              <w:t xml:space="preserve">work involving the on-site installation or replacement of framed and unframed glass for commercial, structural and other architectural engineered applications. </w:t>
            </w:r>
            <w:r w:rsidRPr="00A10404">
              <w:t>This covers:</w:t>
            </w:r>
          </w:p>
          <w:p w:rsidR="00000000" w:rsidRPr="00A10404" w:rsidP="00A10404">
            <w:pPr>
              <w:pStyle w:val="ListBullet2"/>
            </w:pPr>
            <w:r w:rsidRPr="00A10404">
              <w:t xml:space="preserve">commercial windows and doors: </w:t>
            </w:r>
          </w:p>
          <w:p w:rsidR="00000000" w:rsidRPr="00A10404" w:rsidP="00A10404">
            <w:pPr>
              <w:pStyle w:val="ListBullet3"/>
            </w:pPr>
            <w:r w:rsidRPr="00A10404">
              <w:t xml:space="preserve">casement </w:t>
            </w:r>
          </w:p>
          <w:p w:rsidR="00000000" w:rsidRPr="00A10404" w:rsidP="00A10404">
            <w:pPr>
              <w:pStyle w:val="ListBullet3"/>
            </w:pPr>
            <w:r w:rsidRPr="00A10404">
              <w:t xml:space="preserve">sash </w:t>
            </w:r>
          </w:p>
          <w:p w:rsidR="00000000" w:rsidRPr="00A10404" w:rsidP="00A10404">
            <w:pPr>
              <w:pStyle w:val="ListBullet3"/>
            </w:pPr>
            <w:r w:rsidRPr="00A10404">
              <w:t xml:space="preserve">awning and double hung windows </w:t>
            </w:r>
          </w:p>
          <w:p w:rsidR="00000000" w:rsidRPr="00A10404" w:rsidP="00A10404">
            <w:pPr>
              <w:pStyle w:val="ListBullet2"/>
            </w:pPr>
            <w:r w:rsidRPr="00A10404">
              <w:t xml:space="preserve">shopfronts and returns </w:t>
            </w:r>
          </w:p>
          <w:p w:rsidR="00000000" w:rsidRPr="00A10404" w:rsidP="00A10404">
            <w:pPr>
              <w:pStyle w:val="ListBullet2"/>
            </w:pPr>
            <w:r w:rsidRPr="00A10404">
              <w:t xml:space="preserve">louvres </w:t>
            </w:r>
          </w:p>
          <w:p w:rsidR="00000000" w:rsidRPr="00A10404" w:rsidP="00A10404">
            <w:pPr>
              <w:pStyle w:val="ListBullet2"/>
            </w:pPr>
            <w:r w:rsidRPr="00A10404">
              <w:t>hinged, pivot and sliding doors and windows</w:t>
            </w:r>
          </w:p>
          <w:p w:rsidR="00000000" w:rsidRPr="00A10404" w:rsidP="00A10404">
            <w:pPr>
              <w:pStyle w:val="ListBullet2"/>
            </w:pPr>
            <w:r w:rsidRPr="00A10404">
              <w:t xml:space="preserve">automatic doors </w:t>
            </w:r>
          </w:p>
          <w:p w:rsidR="00000000" w:rsidRPr="00A10404" w:rsidP="00A10404">
            <w:pPr>
              <w:pStyle w:val="ListBullet2"/>
            </w:pPr>
            <w:r w:rsidRPr="00A10404">
              <w:t xml:space="preserve">mirrors </w:t>
            </w:r>
          </w:p>
          <w:p w:rsidR="00000000" w:rsidRPr="00A10404" w:rsidP="00A10404">
            <w:pPr>
              <w:pStyle w:val="ListBullet2"/>
            </w:pPr>
            <w:r w:rsidRPr="00A10404">
              <w:t>facetted glazing</w:t>
            </w:r>
          </w:p>
          <w:p w:rsidR="00000000" w:rsidRPr="00A10404" w:rsidP="00A10404">
            <w:pPr>
              <w:pStyle w:val="ListBullet2"/>
            </w:pPr>
            <w:r w:rsidRPr="00A10404">
              <w:t>fin-supported glazing</w:t>
            </w:r>
          </w:p>
          <w:p w:rsidR="00000000" w:rsidRPr="00A10404" w:rsidP="00A10404">
            <w:pPr>
              <w:pStyle w:val="ListBullet2"/>
            </w:pPr>
            <w:r w:rsidRPr="00A10404">
              <w:t xml:space="preserve">furniture applications </w:t>
            </w:r>
          </w:p>
          <w:p w:rsidR="00000000" w:rsidRPr="00A10404" w:rsidP="00A10404">
            <w:pPr>
              <w:pStyle w:val="ListBullet2"/>
            </w:pPr>
            <w:r w:rsidRPr="00A10404">
              <w:t xml:space="preserve">showcases </w:t>
            </w:r>
          </w:p>
          <w:p w:rsidR="00000000" w:rsidRPr="00A10404" w:rsidP="00A10404">
            <w:pPr>
              <w:pStyle w:val="ListBullet2"/>
            </w:pPr>
            <w:r w:rsidRPr="00A10404">
              <w:t xml:space="preserve">sliding tracks and food cabinets </w:t>
            </w:r>
          </w:p>
          <w:p w:rsidR="00000000" w:rsidRPr="00A10404" w:rsidP="00A10404">
            <w:pPr>
              <w:pStyle w:val="ListBullet2"/>
            </w:pPr>
            <w:r w:rsidRPr="00A10404">
              <w:t xml:space="preserve">curtain walls </w:t>
            </w:r>
          </w:p>
          <w:p w:rsidR="00000000" w:rsidRPr="00A10404" w:rsidP="00A10404">
            <w:pPr>
              <w:pStyle w:val="ListBullet2"/>
            </w:pPr>
            <w:r w:rsidRPr="00A10404">
              <w:t xml:space="preserve">balustrading </w:t>
            </w:r>
          </w:p>
          <w:p w:rsidR="00000000" w:rsidRPr="00A10404" w:rsidP="00A10404">
            <w:pPr>
              <w:pStyle w:val="ListBullet2"/>
            </w:pPr>
            <w:r w:rsidRPr="00A10404">
              <w:t xml:space="preserve">structural and suspended glazing </w:t>
            </w:r>
          </w:p>
          <w:p w:rsidR="00000000" w:rsidRPr="00A10404" w:rsidP="00A10404">
            <w:pPr>
              <w:pStyle w:val="ListBullet2"/>
            </w:pPr>
            <w:r w:rsidRPr="00A10404">
              <w:t xml:space="preserve">overhead glazing </w:t>
            </w:r>
          </w:p>
          <w:p w:rsidR="00000000" w:rsidRPr="00A10404" w:rsidP="00A10404">
            <w:pPr>
              <w:pStyle w:val="ListBullet2"/>
            </w:pPr>
            <w:r w:rsidRPr="00A10404">
              <w:t xml:space="preserve">toughened glass assemblies </w:t>
            </w:r>
          </w:p>
          <w:p w:rsidR="00000000" w:rsidRPr="00A10404" w:rsidP="00A10404">
            <w:pPr>
              <w:pStyle w:val="ListBullet2"/>
            </w:pPr>
            <w:r w:rsidRPr="00A10404">
              <w:t>alum</w:t>
            </w:r>
            <w:r w:rsidRPr="00A10404">
              <w:t xml:space="preserve">inium glazing systems, including planar assemblies, curtain wall systems, spider assemblies, panel wall systems (hung and stacked) </w:t>
            </w:r>
          </w:p>
          <w:p w:rsidR="00000000" w:rsidRPr="00A10404" w:rsidP="00A10404">
            <w:pPr>
              <w:pStyle w:val="ListBullet2"/>
            </w:pPr>
            <w:r w:rsidRPr="00A10404">
              <w:t xml:space="preserve">Armour-view balustrading </w:t>
            </w:r>
          </w:p>
          <w:p w:rsidR="00000000" w:rsidP="00A10404">
            <w:pPr>
              <w:pStyle w:val="ListBullet2"/>
              <w:rPr>
                <w:lang w:val="en-NZ"/>
              </w:rPr>
            </w:pPr>
            <w:r w:rsidRPr="00A10404">
              <w:t>watertight glazing techniques</w:t>
            </w:r>
          </w:p>
        </w:tc>
      </w:tr>
      <w:tr w:rsidTr="00A10404">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A10404">
            <w:pPr>
              <w:pStyle w:val="BodyText"/>
              <w:rPr>
                <w:lang w:val="en-NZ"/>
              </w:rPr>
            </w:pPr>
            <w:r w:rsidRPr="00A10404">
              <w:rPr>
                <w:rStyle w:val="SpecialBold"/>
              </w:rPr>
              <w:t>Tools and equipment include:</w:t>
            </w:r>
          </w:p>
        </w:tc>
        <w:tc>
          <w:tcPr>
            <w:tcW w:w="6312" w:type="dxa"/>
            <w:tcBorders>
              <w:top w:val="nil"/>
              <w:left w:val="nil"/>
              <w:bottom w:val="nil"/>
              <w:right w:val="nil"/>
            </w:tcBorders>
            <w:tcMar>
              <w:top w:w="0" w:type="dxa"/>
              <w:left w:w="62" w:type="dxa"/>
              <w:bottom w:w="0" w:type="dxa"/>
              <w:right w:w="62" w:type="dxa"/>
            </w:tcMar>
          </w:tcPr>
          <w:p w:rsidR="00000000" w:rsidRPr="00A10404" w:rsidP="00A10404">
            <w:pPr>
              <w:pStyle w:val="ListBullet"/>
            </w:pPr>
            <w:r w:rsidRPr="00A10404">
              <w:t>glass cutters</w:t>
            </w:r>
          </w:p>
          <w:p w:rsidR="00000000" w:rsidRPr="00A10404" w:rsidP="00A10404">
            <w:pPr>
              <w:pStyle w:val="ListBullet"/>
            </w:pPr>
            <w:r w:rsidRPr="00A10404">
              <w:t>pliers</w:t>
            </w:r>
          </w:p>
          <w:p w:rsidR="00000000" w:rsidRPr="00A10404" w:rsidP="00A10404">
            <w:pPr>
              <w:pStyle w:val="ListBullet"/>
            </w:pPr>
            <w:r w:rsidRPr="00A10404">
              <w:t>hack-out knives</w:t>
            </w:r>
          </w:p>
          <w:p w:rsidR="00000000" w:rsidRPr="00A10404" w:rsidP="00A10404">
            <w:pPr>
              <w:pStyle w:val="ListBullet"/>
            </w:pPr>
            <w:r w:rsidRPr="00A10404">
              <w:t>drills</w:t>
            </w:r>
          </w:p>
          <w:p w:rsidR="00000000" w:rsidRPr="00A10404" w:rsidP="00A10404">
            <w:pPr>
              <w:pStyle w:val="ListBullet"/>
            </w:pPr>
            <w:r w:rsidRPr="00A10404">
              <w:t>putty knives</w:t>
            </w:r>
          </w:p>
          <w:p w:rsidR="00000000" w:rsidRPr="00A10404" w:rsidP="00A10404">
            <w:pPr>
              <w:pStyle w:val="ListBullet"/>
            </w:pPr>
            <w:r w:rsidRPr="00A10404">
              <w:t>tape measures</w:t>
            </w:r>
          </w:p>
          <w:p w:rsidR="00000000" w:rsidRPr="00A10404" w:rsidP="00A10404">
            <w:pPr>
              <w:pStyle w:val="ListBullet"/>
            </w:pPr>
            <w:r w:rsidRPr="00A10404">
              <w:t>scaffolding</w:t>
            </w:r>
          </w:p>
          <w:p w:rsidR="00000000" w:rsidP="00A10404">
            <w:pPr>
              <w:pStyle w:val="ListBullet"/>
              <w:rPr>
                <w:lang w:val="en-NZ"/>
              </w:rPr>
            </w:pPr>
            <w:r w:rsidRPr="00A10404">
              <w:t>ladders</w:t>
            </w:r>
          </w:p>
        </w:tc>
      </w:tr>
      <w:tr w:rsidTr="00A10404">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A10404">
            <w:pPr>
              <w:pStyle w:val="BodyText"/>
              <w:rPr>
                <w:lang w:val="en-NZ"/>
              </w:rPr>
            </w:pPr>
            <w:r w:rsidRPr="00A10404">
              <w:rPr>
                <w:rStyle w:val="SpecialBold"/>
              </w:rPr>
              <w:t>Materials include:</w:t>
            </w:r>
          </w:p>
        </w:tc>
        <w:tc>
          <w:tcPr>
            <w:tcW w:w="6312" w:type="dxa"/>
            <w:tcBorders>
              <w:top w:val="nil"/>
              <w:left w:val="nil"/>
              <w:bottom w:val="nil"/>
              <w:right w:val="nil"/>
            </w:tcBorders>
            <w:tcMar>
              <w:top w:w="0" w:type="dxa"/>
              <w:left w:w="62" w:type="dxa"/>
              <w:bottom w:w="0" w:type="dxa"/>
              <w:right w:w="62" w:type="dxa"/>
            </w:tcMar>
          </w:tcPr>
          <w:p w:rsidR="00000000" w:rsidRPr="00A10404" w:rsidP="00A10404">
            <w:pPr>
              <w:pStyle w:val="ListBullet"/>
            </w:pPr>
            <w:r w:rsidRPr="00A10404">
              <w:t>all forms of flat glass and acrylic glazing products</w:t>
            </w:r>
          </w:p>
          <w:p w:rsidR="00000000" w:rsidRPr="00A10404" w:rsidP="00A10404">
            <w:pPr>
              <w:pStyle w:val="ListBullet"/>
            </w:pPr>
            <w:r w:rsidRPr="00A10404">
              <w:t>plastic</w:t>
            </w:r>
          </w:p>
          <w:p w:rsidR="00000000" w:rsidRPr="00A10404" w:rsidP="00A10404">
            <w:pPr>
              <w:pStyle w:val="ListBullet"/>
            </w:pPr>
            <w:r w:rsidRPr="00A10404">
              <w:t>aluminium</w:t>
            </w:r>
          </w:p>
          <w:p w:rsidR="00000000" w:rsidRPr="00A10404" w:rsidP="00A10404">
            <w:pPr>
              <w:pStyle w:val="ListBullet"/>
            </w:pPr>
            <w:r w:rsidRPr="00A10404">
              <w:t>steel</w:t>
            </w:r>
          </w:p>
          <w:p w:rsidR="00000000" w:rsidRPr="00A10404" w:rsidP="00A10404">
            <w:pPr>
              <w:pStyle w:val="ListBullet"/>
            </w:pPr>
            <w:r w:rsidRPr="00A10404">
              <w:t>solid timber</w:t>
            </w:r>
          </w:p>
          <w:p w:rsidR="00000000" w:rsidRPr="00A10404" w:rsidP="00A10404">
            <w:pPr>
              <w:pStyle w:val="ListBullet"/>
            </w:pPr>
            <w:r w:rsidRPr="00A10404">
              <w:t>gaskets</w:t>
            </w:r>
          </w:p>
          <w:p w:rsidR="00000000" w:rsidRPr="00A10404" w:rsidP="00A10404">
            <w:pPr>
              <w:pStyle w:val="ListBullet"/>
            </w:pPr>
            <w:r w:rsidRPr="00A10404">
              <w:t>sealants</w:t>
            </w:r>
          </w:p>
          <w:p w:rsidR="00000000" w:rsidRPr="00A10404" w:rsidP="00A10404">
            <w:pPr>
              <w:pStyle w:val="ListBullet"/>
            </w:pPr>
            <w:r w:rsidRPr="00A10404">
              <w:t>structural silicone</w:t>
            </w:r>
          </w:p>
          <w:p w:rsidR="00000000" w:rsidP="00A10404">
            <w:pPr>
              <w:pStyle w:val="ListBullet"/>
              <w:rPr>
                <w:lang w:val="en-NZ"/>
              </w:rPr>
            </w:pPr>
            <w:r w:rsidRPr="00A10404">
              <w:t>adhesives</w:t>
            </w:r>
          </w:p>
        </w:tc>
      </w:tr>
      <w:tr w:rsidTr="00A10404">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A10404">
            <w:pPr>
              <w:pStyle w:val="BodyText"/>
              <w:rPr>
                <w:lang w:val="en-NZ"/>
              </w:rPr>
            </w:pPr>
            <w:r w:rsidRPr="00A10404">
              <w:rPr>
                <w:rStyle w:val="SpecialBold"/>
              </w:rPr>
              <w:t>Preparation includes:</w:t>
            </w:r>
          </w:p>
        </w:tc>
        <w:tc>
          <w:tcPr>
            <w:tcW w:w="6312" w:type="dxa"/>
            <w:tcBorders>
              <w:top w:val="nil"/>
              <w:left w:val="nil"/>
              <w:bottom w:val="nil"/>
              <w:right w:val="nil"/>
            </w:tcBorders>
            <w:tcMar>
              <w:top w:w="0" w:type="dxa"/>
              <w:left w:w="62" w:type="dxa"/>
              <w:bottom w:w="0" w:type="dxa"/>
              <w:right w:w="62" w:type="dxa"/>
            </w:tcMar>
          </w:tcPr>
          <w:p w:rsidR="00000000" w:rsidRPr="00A10404" w:rsidP="00A10404">
            <w:pPr>
              <w:pStyle w:val="ListBullet"/>
            </w:pPr>
            <w:r w:rsidRPr="00A10404">
              <w:t>removing any remains of glass and sealants</w:t>
            </w:r>
          </w:p>
          <w:p w:rsidR="00000000" w:rsidRPr="00A10404" w:rsidP="00A10404">
            <w:pPr>
              <w:pStyle w:val="ListBullet"/>
            </w:pPr>
            <w:r w:rsidRPr="00A10404">
              <w:t>cleaning</w:t>
            </w:r>
          </w:p>
          <w:p w:rsidR="00000000" w:rsidRPr="00A10404" w:rsidP="00A10404">
            <w:pPr>
              <w:pStyle w:val="ListBullet"/>
            </w:pPr>
            <w:r w:rsidRPr="00A10404">
              <w:t>surface preparation, if required</w:t>
            </w:r>
          </w:p>
          <w:p w:rsidR="00000000" w:rsidP="00A10404">
            <w:pPr>
              <w:pStyle w:val="ListBullet"/>
              <w:rPr>
                <w:lang w:val="en-NZ"/>
              </w:rPr>
            </w:pPr>
            <w:r w:rsidRPr="00A10404">
              <w:t>checking size against specification</w:t>
            </w:r>
          </w:p>
        </w:tc>
      </w:tr>
      <w:tr w:rsidTr="00A10404">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A10404" w:rsidP="00A10404">
            <w:pPr>
              <w:pStyle w:val="BodyText"/>
            </w:pPr>
            <w:r w:rsidRPr="00A10404">
              <w:rPr>
                <w:rStyle w:val="SpecialBold"/>
              </w:rPr>
              <w:t>Personal protective equipment includes:</w:t>
            </w:r>
          </w:p>
          <w:p w:rsidR="00000000" w:rsidP="00A10404">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A10404" w:rsidP="00A10404">
            <w:pPr>
              <w:pStyle w:val="ListBullet"/>
            </w:pPr>
            <w:r w:rsidRPr="00A10404">
              <w:t>that prescribed under legislation, regulation and enterprise policies and practices:</w:t>
            </w:r>
          </w:p>
          <w:p w:rsidR="00000000" w:rsidRPr="00A10404" w:rsidP="00A10404">
            <w:pPr>
              <w:pStyle w:val="ListBullet2"/>
            </w:pPr>
            <w:r w:rsidRPr="00A10404">
              <w:t>gauntl</w:t>
            </w:r>
            <w:r w:rsidRPr="00A10404">
              <w:t>ets</w:t>
            </w:r>
          </w:p>
          <w:p w:rsidR="00000000" w:rsidRPr="00A10404" w:rsidP="00A10404">
            <w:pPr>
              <w:pStyle w:val="ListBullet2"/>
            </w:pPr>
            <w:r w:rsidRPr="00A10404">
              <w:t>gloves</w:t>
            </w:r>
          </w:p>
          <w:p w:rsidR="00000000" w:rsidRPr="00A10404" w:rsidP="00A10404">
            <w:pPr>
              <w:pStyle w:val="ListBullet2"/>
            </w:pPr>
            <w:r w:rsidRPr="00A10404">
              <w:t>safety glasses</w:t>
            </w:r>
          </w:p>
          <w:p w:rsidR="00000000" w:rsidRPr="00A10404" w:rsidP="00A10404">
            <w:pPr>
              <w:pStyle w:val="ListBullet2"/>
            </w:pPr>
            <w:r w:rsidRPr="00A10404">
              <w:t>hard hats</w:t>
            </w:r>
          </w:p>
          <w:p w:rsidR="00000000" w:rsidRPr="00A10404" w:rsidP="00A10404">
            <w:pPr>
              <w:pStyle w:val="ListBullet2"/>
            </w:pPr>
            <w:r w:rsidRPr="00A10404">
              <w:t>safety footwear</w:t>
            </w:r>
          </w:p>
          <w:p w:rsidR="00000000" w:rsidP="00A10404">
            <w:pPr>
              <w:pStyle w:val="ListBullet2"/>
              <w:rPr>
                <w:lang w:val="en-NZ"/>
              </w:rPr>
            </w:pPr>
            <w:r w:rsidRPr="00A10404">
              <w:t>aprons and overalls</w:t>
            </w:r>
          </w:p>
        </w:tc>
      </w:tr>
      <w:tr w:rsidTr="00A10404">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A10404">
            <w:pPr>
              <w:pStyle w:val="BodyText"/>
              <w:rPr>
                <w:lang w:val="en-NZ"/>
              </w:rPr>
            </w:pPr>
            <w:r w:rsidRPr="00A10404">
              <w:rPr>
                <w:rStyle w:val="SpecialBold"/>
              </w:rPr>
              <w:t>Information and procedures include:</w:t>
            </w:r>
          </w:p>
        </w:tc>
        <w:tc>
          <w:tcPr>
            <w:tcW w:w="6312" w:type="dxa"/>
            <w:tcBorders>
              <w:top w:val="nil"/>
              <w:left w:val="nil"/>
              <w:bottom w:val="nil"/>
              <w:right w:val="nil"/>
            </w:tcBorders>
            <w:tcMar>
              <w:top w:w="0" w:type="dxa"/>
              <w:left w:w="62" w:type="dxa"/>
              <w:bottom w:w="0" w:type="dxa"/>
              <w:right w:w="62" w:type="dxa"/>
            </w:tcMar>
          </w:tcPr>
          <w:p w:rsidR="00000000" w:rsidRPr="00A10404" w:rsidP="00A10404">
            <w:pPr>
              <w:pStyle w:val="ListBullet"/>
            </w:pPr>
            <w:r w:rsidRPr="00A10404">
              <w:t xml:space="preserve">workplace procedures relating to the use of tools and equipment and personal protective equipment </w:t>
            </w:r>
          </w:p>
          <w:p w:rsidR="00000000" w:rsidRPr="00A10404" w:rsidP="00A10404">
            <w:pPr>
              <w:pStyle w:val="ListBullet"/>
            </w:pPr>
            <w:r w:rsidRPr="00A10404">
              <w:t xml:space="preserve">work instructions, including job sheets, cutting lists, plans, drawings and designs </w:t>
            </w:r>
          </w:p>
          <w:p w:rsidR="00000000" w:rsidRPr="00A10404" w:rsidP="00A10404">
            <w:pPr>
              <w:pStyle w:val="ListBullet"/>
            </w:pPr>
            <w:r w:rsidRPr="00A10404">
              <w:t xml:space="preserve">workplace procedures relating to reporting and communication </w:t>
            </w:r>
          </w:p>
          <w:p w:rsidR="00000000" w:rsidRPr="00A10404" w:rsidP="00A10404">
            <w:pPr>
              <w:pStyle w:val="ListBullet"/>
            </w:pPr>
            <w:r w:rsidRPr="00A10404">
              <w:t>manufacturer specifications and operational procedures</w:t>
            </w:r>
          </w:p>
          <w:p w:rsidR="00000000" w:rsidRPr="00A10404" w:rsidP="00A10404">
            <w:pPr>
              <w:pStyle w:val="ListBullet"/>
            </w:pPr>
            <w:r w:rsidRPr="00A10404">
              <w:t xml:space="preserve">Australian Standards: </w:t>
            </w:r>
          </w:p>
          <w:p w:rsidR="00000000" w:rsidRPr="00A10404" w:rsidP="00A10404">
            <w:pPr>
              <w:pStyle w:val="ListBullet2"/>
            </w:pPr>
            <w:r w:rsidRPr="00A10404">
              <w:t>AS 1288:2006 Glass in building</w:t>
            </w:r>
            <w:r w:rsidRPr="00A10404">
              <w:t>s - Selection and installation, Section 9 – Framed, unframed and partly framed glass assemblies</w:t>
            </w:r>
          </w:p>
          <w:p w:rsidR="00000000" w:rsidRPr="00A10404" w:rsidP="00A10404">
            <w:pPr>
              <w:pStyle w:val="ListBullet2"/>
            </w:pPr>
            <w:r w:rsidRPr="00A10404">
              <w:t xml:space="preserve">AS/NZS 2208:1996 Safety glazing materials in buildings </w:t>
            </w:r>
          </w:p>
          <w:p w:rsidR="00000000" w:rsidRPr="00A10404" w:rsidP="00A10404">
            <w:pPr>
              <w:pStyle w:val="ListBullet2"/>
            </w:pPr>
            <w:r w:rsidRPr="00A10404">
              <w:t>AS/NZS 4667:2000 Quality requirements for cut-to-size and processed glass</w:t>
            </w:r>
          </w:p>
        </w:tc>
      </w:tr>
    </w:tbl>
    <w:p w:rsidR="00000000" w:rsidRPr="00A10404" w:rsidP="00A10404">
      <w:pPr>
        <w:pStyle w:val="BodyText"/>
      </w:pPr>
    </w:p>
    <w:p w:rsidR="00000000" w:rsidRPr="00A10404" w:rsidP="00A10404">
      <w:pPr>
        <w:pStyle w:val="AllowPageBreak"/>
      </w:pPr>
    </w:p>
    <w:p w:rsidR="00000000" w:rsidRPr="00A10404" w:rsidP="00A10404">
      <w:pPr>
        <w:pStyle w:val="Heading1"/>
      </w:pPr>
      <w:bookmarkStart w:id="9" w:name="O_632962"/>
      <w:bookmarkEnd w:id="9"/>
      <w:r w:rsidRPr="00A10404">
        <w:t>Unit Mapping Information</w:t>
      </w:r>
    </w:p>
    <w:p w:rsidR="00000000" w:rsidRPr="00A10404" w:rsidP="00A10404">
      <w:pPr>
        <w:pStyle w:val="BodyText"/>
      </w:pPr>
      <w:r w:rsidRPr="00A10404">
        <w:t>Supersedes and is equivalent to LMFGG3019C Conduct commercial and structural re-glazing.</w:t>
      </w:r>
    </w:p>
    <w:p w:rsidR="00000000" w:rsidRPr="00A10404" w:rsidP="00A10404">
      <w:pPr>
        <w:pStyle w:val="AllowPageBreak"/>
      </w:pPr>
    </w:p>
    <w:p w:rsidR="00000000" w:rsidRPr="00A10404" w:rsidP="00A10404">
      <w:pPr>
        <w:pStyle w:val="Heading1"/>
      </w:pPr>
      <w:bookmarkStart w:id="10" w:name="O_632955"/>
      <w:bookmarkEnd w:id="10"/>
      <w:r w:rsidRPr="00A10404">
        <w:t>Links</w:t>
      </w:r>
    </w:p>
    <w:p w:rsidR="00000000" w:rsidRPr="00A10404" w:rsidP="00A10404">
      <w:pPr>
        <w:pStyle w:val="BodyText"/>
      </w:pPr>
      <w:r w:rsidRPr="00A10404">
        <w:t>Companion Volume implementation guides are found in VETNet - https://vetnet.education.gov.au/Pages/TrainingDocs.aspx?q=</w:t>
      </w:r>
      <w:r w:rsidRPr="00A10404">
        <w:t>0601ab95-583a-4e93-b2d4-cfb27b03ed73</w:t>
      </w:r>
    </w:p>
    <w:p w:rsidR="00000000" w:rsidRPr="00A10404" w:rsidP="00A10404"/>
    <w:sectPr w:rsidSect="00A1040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040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0404" w:rsidRPr="00161CD4" w:rsidP="00161CD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040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1CD4" w:rsidP="00A1040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161CD4" w:rsidP="00A10404">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161CD4" w:rsidP="00A1040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040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1CD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10404" w:rsidRPr="00161CD4" w:rsidP="00161CD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040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1CD4" w:rsidRPr="002D2AF8" w:rsidP="00A10404">
    <w:pPr>
      <w:pStyle w:val="Header"/>
      <w:framePr w:wrap="around"/>
    </w:pPr>
    <w:r>
      <w:fldChar w:fldCharType="begin"/>
    </w:r>
    <w:r>
      <w:instrText xml:space="preserve"> TITLE   \* MERGEFORMAT </w:instrText>
    </w:r>
    <w:r>
      <w:fldChar w:fldCharType="separate"/>
    </w:r>
    <w:r>
      <w:t>MSFGG3019 Conduct commercial and structural re-glazing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9 December 2016</w:t>
    </w:r>
    <w:r>
      <w:fldChar w:fldCharType="end"/>
    </w:r>
  </w:p>
  <w:p w:rsidR="00161CD4" w:rsidP="00A1040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462026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EE416E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47C3EB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1040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10404"/>
    <w:pPr>
      <w:spacing w:before="360" w:after="60"/>
      <w:outlineLvl w:val="0"/>
    </w:pPr>
    <w:rPr>
      <w:sz w:val="32"/>
    </w:rPr>
  </w:style>
  <w:style w:type="paragraph" w:styleId="Heading2">
    <w:name w:val="heading 2"/>
    <w:basedOn w:val="HeadingBase"/>
    <w:next w:val="BodyText"/>
    <w:link w:val="Heading2Char"/>
    <w:qFormat/>
    <w:rsid w:val="00A10404"/>
    <w:pPr>
      <w:keepLines/>
      <w:spacing w:before="240" w:after="120"/>
      <w:outlineLvl w:val="1"/>
    </w:pPr>
    <w:rPr>
      <w:sz w:val="28"/>
      <w:szCs w:val="40"/>
    </w:rPr>
  </w:style>
  <w:style w:type="paragraph" w:styleId="Heading3">
    <w:name w:val="heading 3"/>
    <w:basedOn w:val="HeadingBase"/>
    <w:next w:val="BodyText"/>
    <w:link w:val="Heading3Char"/>
    <w:qFormat/>
    <w:rsid w:val="00A10404"/>
    <w:pPr>
      <w:spacing w:before="180" w:after="120"/>
      <w:outlineLvl w:val="2"/>
    </w:pPr>
    <w:rPr>
      <w:spacing w:val="-10"/>
      <w:kern w:val="32"/>
    </w:rPr>
  </w:style>
  <w:style w:type="paragraph" w:styleId="Heading4">
    <w:name w:val="heading 4"/>
    <w:basedOn w:val="HeadingBase"/>
    <w:next w:val="BodyText"/>
    <w:link w:val="Heading4Char"/>
    <w:qFormat/>
    <w:rsid w:val="00A10404"/>
    <w:pPr>
      <w:spacing w:before="160" w:after="120"/>
      <w:outlineLvl w:val="3"/>
    </w:pPr>
    <w:rPr>
      <w:sz w:val="22"/>
    </w:rPr>
  </w:style>
  <w:style w:type="paragraph" w:styleId="Heading5">
    <w:name w:val="heading 5"/>
    <w:basedOn w:val="HeadingBase"/>
    <w:next w:val="Normal"/>
    <w:link w:val="Heading5Char"/>
    <w:qFormat/>
    <w:rsid w:val="00A10404"/>
    <w:pPr>
      <w:spacing w:before="80"/>
      <w:outlineLvl w:val="4"/>
    </w:pPr>
    <w:rPr>
      <w:color w:val="918585"/>
      <w:sz w:val="20"/>
    </w:rPr>
  </w:style>
  <w:style w:type="paragraph" w:styleId="Heading6">
    <w:name w:val="heading 6"/>
    <w:basedOn w:val="HeadingBase"/>
    <w:next w:val="Normal"/>
    <w:link w:val="Heading6Char"/>
    <w:qFormat/>
    <w:rsid w:val="00A10404"/>
    <w:pPr>
      <w:spacing w:before="60"/>
      <w:outlineLvl w:val="5"/>
    </w:pPr>
    <w:rPr>
      <w:color w:val="918585"/>
      <w:sz w:val="20"/>
    </w:rPr>
  </w:style>
  <w:style w:type="paragraph" w:styleId="Heading7">
    <w:name w:val="heading 7"/>
    <w:basedOn w:val="Normal"/>
    <w:next w:val="Normal"/>
    <w:link w:val="Heading7Char"/>
    <w:qFormat/>
    <w:rsid w:val="00A10404"/>
    <w:pPr>
      <w:ind w:left="720"/>
      <w:outlineLvl w:val="6"/>
    </w:pPr>
    <w:rPr>
      <w:i/>
    </w:rPr>
  </w:style>
  <w:style w:type="paragraph" w:styleId="Heading8">
    <w:name w:val="heading 8"/>
    <w:basedOn w:val="Normal"/>
    <w:next w:val="Normal"/>
    <w:link w:val="Heading8Char"/>
    <w:qFormat/>
    <w:rsid w:val="00A10404"/>
    <w:pPr>
      <w:ind w:left="720"/>
      <w:outlineLvl w:val="7"/>
    </w:pPr>
    <w:rPr>
      <w:i/>
    </w:rPr>
  </w:style>
  <w:style w:type="paragraph" w:styleId="Heading9">
    <w:name w:val="heading 9"/>
    <w:basedOn w:val="Normal"/>
    <w:next w:val="Normal"/>
    <w:link w:val="Heading9Char"/>
    <w:qFormat/>
    <w:rsid w:val="00A10404"/>
    <w:pPr>
      <w:ind w:left="720"/>
      <w:outlineLvl w:val="8"/>
    </w:pPr>
    <w:rPr>
      <w:i/>
    </w:rPr>
  </w:style>
  <w:style w:type="character" w:default="1" w:styleId="DefaultParagraphFont">
    <w:name w:val="Default Paragraph Font"/>
    <w:uiPriority w:val="1"/>
    <w:unhideWhenUsed/>
    <w:rsid w:val="00A1040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10404"/>
  </w:style>
  <w:style w:type="character" w:customStyle="1" w:styleId="Heading1Char">
    <w:name w:val="Heading 1 Char"/>
    <w:basedOn w:val="DefaultParagraphFont"/>
    <w:link w:val="Heading1"/>
    <w:rsid w:val="00A10404"/>
    <w:rPr>
      <w:rFonts w:ascii="Times New Roman" w:eastAsia="Times New Roman" w:hAnsi="Times New Roman" w:cs="Times New Roman"/>
      <w:b/>
      <w:sz w:val="32"/>
      <w:szCs w:val="20"/>
      <w:lang w:eastAsia="en-US"/>
    </w:rPr>
  </w:style>
  <w:style w:type="paragraph" w:styleId="BodyText">
    <w:name w:val="Body Text"/>
    <w:basedOn w:val="Normal"/>
    <w:link w:val="BodyTextChar"/>
    <w:rsid w:val="00A1040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10404"/>
    <w:rPr>
      <w:rFonts w:ascii="Times New Roman" w:eastAsia="Times New Roman" w:hAnsi="Times New Roman" w:cs="Times New Roman"/>
      <w:sz w:val="24"/>
      <w:lang w:eastAsia="en-US"/>
    </w:rPr>
  </w:style>
  <w:style w:type="paragraph" w:styleId="ListBullet">
    <w:name w:val="List Bullet"/>
    <w:basedOn w:val="List"/>
    <w:rsid w:val="00A10404"/>
    <w:pPr>
      <w:numPr>
        <w:numId w:val="14"/>
      </w:numPr>
      <w:tabs>
        <w:tab w:val="clear" w:pos="340"/>
      </w:tabs>
      <w:spacing w:before="40" w:after="40"/>
    </w:pPr>
  </w:style>
  <w:style w:type="character" w:customStyle="1" w:styleId="SpecialBold">
    <w:name w:val="Special Bold"/>
    <w:basedOn w:val="DefaultParagraphFont"/>
    <w:rsid w:val="00A10404"/>
    <w:rPr>
      <w:b/>
      <w:spacing w:val="0"/>
    </w:rPr>
  </w:style>
  <w:style w:type="paragraph" w:styleId="ListBullet2">
    <w:name w:val="List Bullet 2"/>
    <w:basedOn w:val="List2"/>
    <w:rsid w:val="00A10404"/>
    <w:pPr>
      <w:numPr>
        <w:numId w:val="15"/>
      </w:numPr>
      <w:tabs>
        <w:tab w:val="clear" w:pos="680"/>
      </w:tabs>
    </w:pPr>
  </w:style>
  <w:style w:type="character" w:styleId="Emphasis">
    <w:name w:val="Emphasis"/>
    <w:basedOn w:val="DefaultParagraphFont"/>
    <w:qFormat/>
    <w:rsid w:val="00A10404"/>
    <w:rPr>
      <w:i/>
    </w:rPr>
  </w:style>
  <w:style w:type="paragraph" w:customStyle="1" w:styleId="SuperHeading">
    <w:name w:val="SuperHeading"/>
    <w:basedOn w:val="Normal"/>
    <w:rsid w:val="00A10404"/>
    <w:pPr>
      <w:spacing w:before="240" w:after="120"/>
      <w:outlineLvl w:val="0"/>
    </w:pPr>
    <w:rPr>
      <w:rFonts w:ascii="Times New Roman" w:hAnsi="Times New Roman"/>
      <w:b/>
      <w:sz w:val="32"/>
    </w:rPr>
  </w:style>
  <w:style w:type="paragraph" w:customStyle="1" w:styleId="AllowPageBreak">
    <w:name w:val="AllowPageBreak"/>
    <w:rsid w:val="00A10404"/>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A10404"/>
    <w:pPr>
      <w:numPr>
        <w:numId w:val="3"/>
      </w:numPr>
      <w:tabs>
        <w:tab w:val="clear" w:pos="1021"/>
      </w:tabs>
      <w:ind w:left="1037" w:hanging="357"/>
    </w:pPr>
  </w:style>
  <w:style w:type="character" w:customStyle="1" w:styleId="Heading2Char">
    <w:name w:val="Heading 2 Char"/>
    <w:basedOn w:val="DefaultParagraphFont"/>
    <w:link w:val="Heading2"/>
    <w:rsid w:val="00A1040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1040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1040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1040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1040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1040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1040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10404"/>
    <w:rPr>
      <w:rFonts w:ascii="Courier New" w:eastAsia="Times New Roman" w:hAnsi="Courier New" w:cs="Times New Roman"/>
      <w:i/>
      <w:szCs w:val="20"/>
      <w:lang w:eastAsia="en-US"/>
    </w:rPr>
  </w:style>
  <w:style w:type="paragraph" w:customStyle="1" w:styleId="HeadingBase">
    <w:name w:val="Heading Base"/>
    <w:rsid w:val="00A1040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10404"/>
    <w:pPr>
      <w:tabs>
        <w:tab w:val="right" w:leader="dot" w:pos="9072"/>
      </w:tabs>
      <w:ind w:left="567"/>
    </w:pPr>
    <w:rPr>
      <w:szCs w:val="22"/>
    </w:rPr>
  </w:style>
  <w:style w:type="paragraph" w:customStyle="1" w:styleId="TOCBase">
    <w:name w:val="TOC Base"/>
    <w:rsid w:val="00A1040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10404"/>
    <w:pPr>
      <w:tabs>
        <w:tab w:val="right" w:leader="dot" w:pos="9072"/>
      </w:tabs>
      <w:spacing w:before="40" w:after="40"/>
      <w:ind w:left="284"/>
    </w:pPr>
    <w:rPr>
      <w:rFonts w:ascii="Times New Roman" w:hAnsi="Times New Roman"/>
    </w:rPr>
  </w:style>
  <w:style w:type="paragraph" w:styleId="TOC1">
    <w:name w:val="toc 1"/>
    <w:basedOn w:val="TOCBase"/>
    <w:next w:val="Normal"/>
    <w:rsid w:val="00A1040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1040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10404"/>
    <w:rPr>
      <w:rFonts w:ascii="Times New Roman" w:eastAsia="Times New Roman" w:hAnsi="Times New Roman" w:cs="Times New Roman"/>
      <w:sz w:val="16"/>
      <w:lang w:eastAsia="en-US"/>
    </w:rPr>
  </w:style>
  <w:style w:type="paragraph" w:styleId="Title">
    <w:name w:val="Title"/>
    <w:basedOn w:val="HeadingBase"/>
    <w:link w:val="TitleChar"/>
    <w:qFormat/>
    <w:rsid w:val="00A10404"/>
    <w:pPr>
      <w:spacing w:before="5040"/>
      <w:jc w:val="center"/>
    </w:pPr>
    <w:rPr>
      <w:sz w:val="48"/>
      <w:szCs w:val="72"/>
      <w:lang w:val="en-US"/>
    </w:rPr>
  </w:style>
  <w:style w:type="character" w:customStyle="1" w:styleId="TitleChar">
    <w:name w:val="Title Char"/>
    <w:basedOn w:val="DefaultParagraphFont"/>
    <w:link w:val="Title"/>
    <w:rsid w:val="00A1040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10404"/>
    <w:pPr>
      <w:tabs>
        <w:tab w:val="left" w:pos="3600"/>
        <w:tab w:val="left" w:pos="3958"/>
      </w:tabs>
    </w:pPr>
  </w:style>
  <w:style w:type="paragraph" w:styleId="List">
    <w:name w:val="List"/>
    <w:basedOn w:val="BodyText"/>
    <w:next w:val="BodyText"/>
    <w:rsid w:val="00A10404"/>
    <w:pPr>
      <w:tabs>
        <w:tab w:val="left" w:pos="340"/>
      </w:tabs>
      <w:spacing w:before="60" w:after="60"/>
      <w:ind w:left="340" w:hanging="340"/>
    </w:pPr>
  </w:style>
  <w:style w:type="paragraph" w:customStyle="1" w:styleId="Note">
    <w:name w:val="Note"/>
    <w:basedOn w:val="BodyText"/>
    <w:rsid w:val="00A1040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10404"/>
    <w:pPr>
      <w:framePr w:wrap="auto" w:hAnchor="text" w:y="6049"/>
    </w:pPr>
    <w:rPr>
      <w:color w:val="000000"/>
      <w:sz w:val="40"/>
    </w:rPr>
  </w:style>
  <w:style w:type="paragraph" w:customStyle="1" w:styleId="TOCTitle">
    <w:name w:val="TOCTitle"/>
    <w:basedOn w:val="Heading1"/>
    <w:rsid w:val="00A10404"/>
    <w:pPr>
      <w:spacing w:after="240"/>
      <w:jc w:val="center"/>
      <w:outlineLvl w:val="9"/>
    </w:pPr>
    <w:rPr>
      <w:caps/>
    </w:rPr>
  </w:style>
  <w:style w:type="paragraph" w:customStyle="1" w:styleId="Version">
    <w:name w:val="Version"/>
    <w:rsid w:val="00A1040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10404"/>
    <w:pPr>
      <w:keepNext w:val="0"/>
      <w:tabs>
        <w:tab w:val="right" w:pos="4176"/>
      </w:tabs>
      <w:ind w:left="198" w:hanging="198"/>
    </w:pPr>
    <w:rPr>
      <w:rFonts w:ascii="Garamond" w:hAnsi="Garamond"/>
    </w:rPr>
  </w:style>
  <w:style w:type="paragraph" w:styleId="IndexHeading">
    <w:name w:val="index heading"/>
    <w:basedOn w:val="Normal"/>
    <w:next w:val="Index1"/>
    <w:semiHidden/>
    <w:rsid w:val="00A10404"/>
    <w:pPr>
      <w:spacing w:before="120" w:after="120"/>
    </w:pPr>
    <w:rPr>
      <w:rFonts w:ascii="Arial" w:hAnsi="Arial"/>
      <w:b/>
      <w:color w:val="918585"/>
      <w:sz w:val="24"/>
    </w:rPr>
  </w:style>
  <w:style w:type="paragraph" w:styleId="Header">
    <w:name w:val="header"/>
    <w:basedOn w:val="Normal"/>
    <w:link w:val="HeaderChar"/>
    <w:rsid w:val="00A1040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10404"/>
    <w:rPr>
      <w:rFonts w:ascii="Times New Roman" w:eastAsia="Times New Roman" w:hAnsi="Times New Roman" w:cs="Times New Roman"/>
      <w:sz w:val="16"/>
      <w:szCs w:val="20"/>
      <w:lang w:val="en-GB" w:eastAsia="en-US"/>
    </w:rPr>
  </w:style>
  <w:style w:type="paragraph" w:customStyle="1" w:styleId="Chapter">
    <w:name w:val="Chapter"/>
    <w:basedOn w:val="Normal"/>
    <w:rsid w:val="00A10404"/>
    <w:pPr>
      <w:spacing w:before="240"/>
    </w:pPr>
    <w:rPr>
      <w:rFonts w:ascii="Times New Roman" w:hAnsi="Times New Roman"/>
      <w:smallCaps/>
      <w:spacing w:val="80"/>
      <w:sz w:val="28"/>
    </w:rPr>
  </w:style>
  <w:style w:type="paragraph" w:customStyle="1" w:styleId="InChapter">
    <w:name w:val="InChapter"/>
    <w:basedOn w:val="Heading3"/>
    <w:rsid w:val="00A10404"/>
    <w:pPr>
      <w:spacing w:after="240"/>
      <w:outlineLvl w:val="9"/>
    </w:pPr>
    <w:rPr>
      <w:noProof/>
    </w:rPr>
  </w:style>
  <w:style w:type="paragraph" w:styleId="Index2">
    <w:name w:val="index 2"/>
    <w:basedOn w:val="Normal"/>
    <w:next w:val="Normal"/>
    <w:semiHidden/>
    <w:rsid w:val="00A10404"/>
    <w:pPr>
      <w:tabs>
        <w:tab w:val="right" w:pos="4176"/>
      </w:tabs>
      <w:ind w:left="568" w:hanging="284"/>
    </w:pPr>
    <w:rPr>
      <w:rFonts w:ascii="Garamond" w:hAnsi="Garamond"/>
    </w:rPr>
  </w:style>
  <w:style w:type="paragraph" w:customStyle="1" w:styleId="Byline">
    <w:name w:val="Byline"/>
    <w:rsid w:val="00A1040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10404"/>
    <w:pPr>
      <w:tabs>
        <w:tab w:val="clear" w:pos="3600"/>
        <w:tab w:val="clear" w:pos="3958"/>
      </w:tabs>
      <w:jc w:val="right"/>
    </w:pPr>
  </w:style>
  <w:style w:type="paragraph" w:styleId="Caption">
    <w:name w:val="caption"/>
    <w:basedOn w:val="BodyText"/>
    <w:next w:val="Normal"/>
    <w:qFormat/>
    <w:rsid w:val="00A10404"/>
    <w:pPr>
      <w:framePr w:w="2268" w:hSpace="181" w:vSpace="181" w:wrap="around" w:vAnchor="text" w:hAnchor="page" w:x="1135" w:y="285" w:anchorLock="1"/>
    </w:pPr>
    <w:rPr>
      <w:i/>
    </w:rPr>
  </w:style>
  <w:style w:type="paragraph" w:customStyle="1" w:styleId="MiniTOCTitle">
    <w:name w:val="MiniTOCTitle"/>
    <w:basedOn w:val="Heading4"/>
    <w:rsid w:val="00A10404"/>
    <w:pPr>
      <w:spacing w:before="240"/>
      <w:outlineLvl w:val="9"/>
    </w:pPr>
    <w:rPr>
      <w:noProof/>
      <w:sz w:val="24"/>
    </w:rPr>
  </w:style>
  <w:style w:type="paragraph" w:customStyle="1" w:styleId="MiniTOCItem">
    <w:name w:val="MiniTOCItem"/>
    <w:basedOn w:val="ListBullet"/>
    <w:rsid w:val="00A10404"/>
    <w:pPr>
      <w:numPr>
        <w:numId w:val="0"/>
      </w:numPr>
      <w:tabs>
        <w:tab w:val="right" w:leader="dot" w:pos="6521"/>
      </w:tabs>
      <w:spacing w:before="0" w:after="0"/>
    </w:pPr>
  </w:style>
  <w:style w:type="paragraph" w:customStyle="1" w:styleId="TOFTitle">
    <w:name w:val="TOFTitle"/>
    <w:basedOn w:val="TOCTitle"/>
    <w:rsid w:val="00A10404"/>
  </w:style>
  <w:style w:type="paragraph" w:styleId="TableofFigures">
    <w:name w:val="table of figures"/>
    <w:basedOn w:val="Normal"/>
    <w:next w:val="Normal"/>
    <w:semiHidden/>
    <w:rsid w:val="00A10404"/>
    <w:pPr>
      <w:tabs>
        <w:tab w:val="right" w:leader="dot" w:pos="9072"/>
      </w:tabs>
      <w:ind w:left="970" w:hanging="403"/>
    </w:pPr>
    <w:rPr>
      <w:rFonts w:ascii="Times New Roman" w:hAnsi="Times New Roman"/>
      <w:b/>
    </w:rPr>
  </w:style>
  <w:style w:type="paragraph" w:styleId="ListNumber">
    <w:name w:val="List Number"/>
    <w:basedOn w:val="List"/>
    <w:rsid w:val="00A10404"/>
    <w:pPr>
      <w:numPr>
        <w:numId w:val="12"/>
      </w:numPr>
    </w:pPr>
  </w:style>
  <w:style w:type="character" w:customStyle="1" w:styleId="WingdingSymbols">
    <w:name w:val="Wingding Symbols"/>
    <w:rsid w:val="00A10404"/>
    <w:rPr>
      <w:rFonts w:ascii="Wingdings" w:hAnsi="Wingdings"/>
    </w:rPr>
  </w:style>
  <w:style w:type="paragraph" w:customStyle="1" w:styleId="TableHeading">
    <w:name w:val="Table Heading"/>
    <w:basedOn w:val="HeadingBase"/>
    <w:rsid w:val="00A10404"/>
    <w:pPr>
      <w:keepLines/>
      <w:pBdr>
        <w:bottom w:val="single" w:sz="6" w:space="1" w:color="918585"/>
      </w:pBdr>
      <w:spacing w:before="240"/>
    </w:pPr>
  </w:style>
  <w:style w:type="character" w:customStyle="1" w:styleId="HotSpot">
    <w:name w:val="HotSpot"/>
    <w:rsid w:val="00A10404"/>
    <w:rPr>
      <w:color w:val="0033CC"/>
      <w:u w:val="none"/>
    </w:rPr>
  </w:style>
  <w:style w:type="paragraph" w:customStyle="1" w:styleId="BodyTextRight">
    <w:name w:val="Body Text Right"/>
    <w:basedOn w:val="BodyText"/>
    <w:rsid w:val="00A10404"/>
    <w:pPr>
      <w:spacing w:before="0" w:after="0"/>
      <w:jc w:val="right"/>
    </w:pPr>
  </w:style>
  <w:style w:type="paragraph" w:styleId="Index3">
    <w:name w:val="index 3"/>
    <w:basedOn w:val="ListNumber2"/>
    <w:next w:val="Normal"/>
    <w:semiHidden/>
    <w:rsid w:val="00A10404"/>
    <w:pPr>
      <w:numPr>
        <w:numId w:val="0"/>
      </w:numPr>
      <w:tabs>
        <w:tab w:val="right" w:leader="dot" w:pos="4176"/>
      </w:tabs>
    </w:pPr>
  </w:style>
  <w:style w:type="paragraph" w:styleId="ListNumber2">
    <w:name w:val="List Number 2"/>
    <w:basedOn w:val="List2"/>
    <w:rsid w:val="00A10404"/>
    <w:pPr>
      <w:numPr>
        <w:numId w:val="11"/>
      </w:numPr>
      <w:tabs>
        <w:tab w:val="clear" w:pos="1060"/>
      </w:tabs>
    </w:pPr>
  </w:style>
  <w:style w:type="paragraph" w:customStyle="1" w:styleId="MarginNote">
    <w:name w:val="Margin Note"/>
    <w:basedOn w:val="BodyText"/>
    <w:rsid w:val="00A1040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1040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1040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10404"/>
    <w:rPr>
      <w:sz w:val="32"/>
    </w:rPr>
  </w:style>
  <w:style w:type="paragraph" w:customStyle="1" w:styleId="HeadingProcedure">
    <w:name w:val="Heading Procedure"/>
    <w:basedOn w:val="HeadingBase"/>
    <w:next w:val="Normal"/>
    <w:rsid w:val="00A10404"/>
    <w:pPr>
      <w:tabs>
        <w:tab w:val="left" w:pos="0"/>
      </w:tabs>
      <w:spacing w:before="120" w:after="60"/>
    </w:pPr>
    <w:rPr>
      <w:i/>
      <w:color w:val="918585"/>
      <w:sz w:val="22"/>
    </w:rPr>
  </w:style>
  <w:style w:type="paragraph" w:customStyle="1" w:styleId="TableBodyText">
    <w:name w:val="Table Body Text"/>
    <w:basedOn w:val="BodyText"/>
    <w:rsid w:val="00A10404"/>
    <w:pPr>
      <w:spacing w:before="60" w:after="60"/>
    </w:pPr>
  </w:style>
  <w:style w:type="paragraph" w:styleId="ListContinue">
    <w:name w:val="List Continue"/>
    <w:basedOn w:val="List"/>
    <w:rsid w:val="00A10404"/>
    <w:pPr>
      <w:ind w:firstLine="0"/>
    </w:pPr>
  </w:style>
  <w:style w:type="paragraph" w:customStyle="1" w:styleId="ListNote">
    <w:name w:val="List Note"/>
    <w:basedOn w:val="List"/>
    <w:rsid w:val="00A10404"/>
    <w:pPr>
      <w:pBdr>
        <w:top w:val="single" w:sz="6" w:space="2" w:color="918585"/>
        <w:bottom w:val="single" w:sz="6" w:space="2" w:color="918585"/>
      </w:pBdr>
      <w:tabs>
        <w:tab w:val="left" w:pos="1021"/>
      </w:tabs>
      <w:ind w:firstLine="0"/>
    </w:pPr>
  </w:style>
  <w:style w:type="paragraph" w:customStyle="1" w:styleId="Warning">
    <w:name w:val="Warning"/>
    <w:basedOn w:val="BodyText"/>
    <w:rsid w:val="00A10404"/>
    <w:pPr>
      <w:shd w:val="clear" w:color="auto" w:fill="D9D9D9"/>
      <w:tabs>
        <w:tab w:val="left" w:pos="992"/>
      </w:tabs>
      <w:ind w:left="119" w:right="119"/>
    </w:pPr>
    <w:rPr>
      <w:sz w:val="20"/>
    </w:rPr>
  </w:style>
  <w:style w:type="paragraph" w:customStyle="1" w:styleId="MarginIcons">
    <w:name w:val="Margin Icons"/>
    <w:basedOn w:val="BodyText"/>
    <w:rsid w:val="00A1040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10404"/>
    <w:rPr>
      <w:rFonts w:ascii="Courier New" w:hAnsi="Courier New"/>
    </w:rPr>
  </w:style>
  <w:style w:type="paragraph" w:customStyle="1" w:styleId="NoteBullet">
    <w:name w:val="Note Bullet"/>
    <w:basedOn w:val="Note"/>
    <w:rsid w:val="00A10404"/>
    <w:pPr>
      <w:tabs>
        <w:tab w:val="clear" w:pos="680"/>
      </w:tabs>
      <w:spacing w:before="60" w:after="60"/>
    </w:pPr>
  </w:style>
  <w:style w:type="paragraph" w:customStyle="1" w:styleId="SubHeading2">
    <w:name w:val="SubHeading2"/>
    <w:basedOn w:val="HeadingBase"/>
    <w:rsid w:val="00A10404"/>
    <w:pPr>
      <w:spacing w:before="240" w:after="60"/>
    </w:pPr>
    <w:rPr>
      <w:sz w:val="20"/>
    </w:rPr>
  </w:style>
  <w:style w:type="paragraph" w:customStyle="1" w:styleId="SubHeading1">
    <w:name w:val="SubHeading1"/>
    <w:basedOn w:val="HeadingBase"/>
    <w:rsid w:val="00A10404"/>
    <w:pPr>
      <w:spacing w:before="240" w:after="60"/>
    </w:pPr>
    <w:rPr>
      <w:color w:val="918585"/>
      <w:sz w:val="22"/>
    </w:rPr>
  </w:style>
  <w:style w:type="paragraph" w:customStyle="1" w:styleId="SideHeading">
    <w:name w:val="Side Heading"/>
    <w:basedOn w:val="HeadingBase"/>
    <w:rsid w:val="00A1040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10404"/>
    <w:pPr>
      <w:numPr>
        <w:numId w:val="13"/>
      </w:numPr>
    </w:pPr>
  </w:style>
  <w:style w:type="paragraph" w:styleId="PlainText">
    <w:name w:val="Plain Text"/>
    <w:basedOn w:val="Normal"/>
    <w:link w:val="PlainTextChar"/>
    <w:rsid w:val="00A10404"/>
    <w:rPr>
      <w:sz w:val="20"/>
    </w:rPr>
  </w:style>
  <w:style w:type="character" w:customStyle="1" w:styleId="PlainTextChar">
    <w:name w:val="Plain Text Char"/>
    <w:basedOn w:val="DefaultParagraphFont"/>
    <w:link w:val="PlainText"/>
    <w:rsid w:val="00A10404"/>
    <w:rPr>
      <w:rFonts w:ascii="Courier New" w:eastAsia="Times New Roman" w:hAnsi="Courier New" w:cs="Times New Roman"/>
      <w:sz w:val="20"/>
      <w:szCs w:val="20"/>
      <w:lang w:eastAsia="en-US"/>
    </w:rPr>
  </w:style>
  <w:style w:type="character" w:customStyle="1" w:styleId="MenuOption">
    <w:name w:val="Menu Option"/>
    <w:basedOn w:val="DefaultParagraphFont"/>
    <w:rsid w:val="00A10404"/>
    <w:rPr>
      <w:b/>
      <w:smallCaps/>
    </w:rPr>
  </w:style>
  <w:style w:type="paragraph" w:customStyle="1" w:styleId="TableListNumber">
    <w:name w:val="Table List Number"/>
    <w:basedOn w:val="ListNumber"/>
    <w:rsid w:val="00A10404"/>
    <w:pPr>
      <w:numPr>
        <w:numId w:val="0"/>
      </w:numPr>
    </w:pPr>
  </w:style>
  <w:style w:type="paragraph" w:styleId="TOC4">
    <w:name w:val="toc 4"/>
    <w:basedOn w:val="TOCBase"/>
    <w:next w:val="Normal"/>
    <w:semiHidden/>
    <w:rsid w:val="00A10404"/>
    <w:pPr>
      <w:tabs>
        <w:tab w:val="right" w:leader="dot" w:pos="9071"/>
      </w:tabs>
      <w:ind w:left="1701"/>
    </w:pPr>
  </w:style>
  <w:style w:type="paragraph" w:customStyle="1" w:styleId="ListAlpha">
    <w:name w:val="List Alpha"/>
    <w:basedOn w:val="List"/>
    <w:rsid w:val="00A10404"/>
    <w:pPr>
      <w:numPr>
        <w:numId w:val="10"/>
      </w:numPr>
    </w:pPr>
  </w:style>
  <w:style w:type="paragraph" w:customStyle="1" w:styleId="ListAlpha2">
    <w:name w:val="List Alpha 2"/>
    <w:basedOn w:val="List2"/>
    <w:rsid w:val="00A10404"/>
    <w:pPr>
      <w:numPr>
        <w:numId w:val="9"/>
      </w:numPr>
    </w:pPr>
  </w:style>
  <w:style w:type="paragraph" w:styleId="List2">
    <w:name w:val="List 2"/>
    <w:basedOn w:val="BodyText"/>
    <w:rsid w:val="00A10404"/>
    <w:pPr>
      <w:tabs>
        <w:tab w:val="left" w:pos="680"/>
      </w:tabs>
      <w:spacing w:before="60" w:after="60"/>
      <w:ind w:left="680" w:hanging="340"/>
    </w:pPr>
  </w:style>
  <w:style w:type="paragraph" w:styleId="List3">
    <w:name w:val="List 3"/>
    <w:basedOn w:val="BodyText"/>
    <w:rsid w:val="00A10404"/>
    <w:pPr>
      <w:tabs>
        <w:tab w:val="left" w:pos="1021"/>
      </w:tabs>
      <w:spacing w:before="60" w:after="60"/>
      <w:ind w:left="1020" w:hanging="340"/>
    </w:pPr>
  </w:style>
  <w:style w:type="paragraph" w:styleId="List4">
    <w:name w:val="List 4"/>
    <w:basedOn w:val="BodyText"/>
    <w:rsid w:val="00A10404"/>
    <w:pPr>
      <w:tabs>
        <w:tab w:val="left" w:pos="1361"/>
      </w:tabs>
      <w:spacing w:before="60" w:after="60"/>
      <w:ind w:left="1361" w:hanging="340"/>
    </w:pPr>
  </w:style>
  <w:style w:type="paragraph" w:styleId="List5">
    <w:name w:val="List 5"/>
    <w:basedOn w:val="BodyText"/>
    <w:rsid w:val="00A10404"/>
    <w:pPr>
      <w:tabs>
        <w:tab w:val="left" w:pos="1701"/>
      </w:tabs>
      <w:spacing w:before="60" w:after="60"/>
      <w:ind w:left="1701" w:hanging="340"/>
    </w:pPr>
  </w:style>
  <w:style w:type="paragraph" w:styleId="ListBullet4">
    <w:name w:val="List Bullet 4"/>
    <w:basedOn w:val="List4"/>
    <w:rsid w:val="00A10404"/>
    <w:pPr>
      <w:numPr>
        <w:numId w:val="4"/>
      </w:numPr>
      <w:tabs>
        <w:tab w:val="clear" w:pos="1361"/>
      </w:tabs>
    </w:pPr>
  </w:style>
  <w:style w:type="paragraph" w:styleId="ListBullet5">
    <w:name w:val="List Bullet 5"/>
    <w:basedOn w:val="List5"/>
    <w:rsid w:val="00A10404"/>
    <w:pPr>
      <w:numPr>
        <w:numId w:val="5"/>
      </w:numPr>
    </w:pPr>
  </w:style>
  <w:style w:type="paragraph" w:styleId="ListContinue2">
    <w:name w:val="List Continue 2"/>
    <w:basedOn w:val="List2"/>
    <w:rsid w:val="00A10404"/>
    <w:pPr>
      <w:ind w:firstLine="0"/>
    </w:pPr>
  </w:style>
  <w:style w:type="paragraph" w:styleId="ListContinue3">
    <w:name w:val="List Continue 3"/>
    <w:basedOn w:val="List3"/>
    <w:rsid w:val="00A10404"/>
    <w:pPr>
      <w:ind w:left="1021" w:firstLine="0"/>
    </w:pPr>
  </w:style>
  <w:style w:type="paragraph" w:styleId="ListContinue4">
    <w:name w:val="List Continue 4"/>
    <w:basedOn w:val="List4"/>
    <w:rsid w:val="00A10404"/>
    <w:pPr>
      <w:ind w:firstLine="0"/>
    </w:pPr>
  </w:style>
  <w:style w:type="paragraph" w:styleId="ListContinue5">
    <w:name w:val="List Continue 5"/>
    <w:basedOn w:val="List5"/>
    <w:rsid w:val="00A10404"/>
    <w:pPr>
      <w:ind w:firstLine="0"/>
    </w:pPr>
  </w:style>
  <w:style w:type="paragraph" w:styleId="ListNumber3">
    <w:name w:val="List Number 3"/>
    <w:basedOn w:val="List3"/>
    <w:rsid w:val="00A10404"/>
    <w:pPr>
      <w:numPr>
        <w:numId w:val="6"/>
      </w:numPr>
    </w:pPr>
  </w:style>
  <w:style w:type="paragraph" w:styleId="ListNumber4">
    <w:name w:val="List Number 4"/>
    <w:basedOn w:val="List4"/>
    <w:rsid w:val="00A10404"/>
    <w:pPr>
      <w:numPr>
        <w:numId w:val="7"/>
      </w:numPr>
    </w:pPr>
  </w:style>
  <w:style w:type="paragraph" w:styleId="ListNumber5">
    <w:name w:val="List Number 5"/>
    <w:basedOn w:val="List5"/>
    <w:rsid w:val="00A10404"/>
    <w:pPr>
      <w:numPr>
        <w:numId w:val="8"/>
      </w:numPr>
    </w:pPr>
  </w:style>
  <w:style w:type="paragraph" w:styleId="BlockText">
    <w:name w:val="Block Text"/>
    <w:basedOn w:val="Normal"/>
    <w:rsid w:val="00A10404"/>
    <w:pPr>
      <w:spacing w:after="120"/>
      <w:ind w:left="1440" w:right="1440"/>
    </w:pPr>
  </w:style>
  <w:style w:type="character" w:customStyle="1" w:styleId="Subscript">
    <w:name w:val="Subscript"/>
    <w:basedOn w:val="DefaultParagraphFont"/>
    <w:rsid w:val="00A10404"/>
    <w:rPr>
      <w:sz w:val="16"/>
      <w:vertAlign w:val="subscript"/>
    </w:rPr>
  </w:style>
  <w:style w:type="character" w:customStyle="1" w:styleId="Superscript">
    <w:name w:val="Superscript"/>
    <w:basedOn w:val="DefaultParagraphFont"/>
    <w:rsid w:val="00A10404"/>
    <w:rPr>
      <w:sz w:val="16"/>
      <w:vertAlign w:val="superscript"/>
    </w:rPr>
  </w:style>
  <w:style w:type="character" w:customStyle="1" w:styleId="Symbols">
    <w:name w:val="Symbols"/>
    <w:basedOn w:val="DefaultParagraphFont"/>
    <w:rsid w:val="00A10404"/>
    <w:rPr>
      <w:rFonts w:ascii="Symbol" w:hAnsi="Symbol"/>
    </w:rPr>
  </w:style>
  <w:style w:type="character" w:customStyle="1" w:styleId="MenuOptions">
    <w:name w:val="Menu Options"/>
    <w:basedOn w:val="DefaultParagraphFont"/>
    <w:rsid w:val="00A10404"/>
    <w:rPr>
      <w:rFonts w:ascii="Arial Narrow" w:hAnsi="Arial Narrow"/>
      <w:smallCaps/>
    </w:rPr>
  </w:style>
  <w:style w:type="character" w:customStyle="1" w:styleId="Buttons">
    <w:name w:val="Buttons"/>
    <w:basedOn w:val="DefaultParagraphFont"/>
    <w:rsid w:val="00A10404"/>
    <w:rPr>
      <w:b/>
    </w:rPr>
  </w:style>
  <w:style w:type="character" w:customStyle="1" w:styleId="Underlined">
    <w:name w:val="Underlined"/>
    <w:basedOn w:val="DefaultParagraphFont"/>
    <w:rsid w:val="00A10404"/>
    <w:rPr>
      <w:u w:val="single"/>
    </w:rPr>
  </w:style>
  <w:style w:type="paragraph" w:customStyle="1" w:styleId="TableBodyTextRight">
    <w:name w:val="Table Body Text Right"/>
    <w:basedOn w:val="TableBodyText"/>
    <w:rsid w:val="00A10404"/>
    <w:pPr>
      <w:widowControl w:val="0"/>
      <w:autoSpaceDE w:val="0"/>
      <w:autoSpaceDN w:val="0"/>
      <w:adjustRightInd w:val="0"/>
      <w:jc w:val="right"/>
    </w:pPr>
    <w:rPr>
      <w:rFonts w:cs="Arial"/>
      <w:szCs w:val="18"/>
    </w:rPr>
  </w:style>
  <w:style w:type="paragraph" w:customStyle="1" w:styleId="CopyrightText">
    <w:name w:val="Copyright Text"/>
    <w:basedOn w:val="BodyText"/>
    <w:rsid w:val="00A10404"/>
    <w:rPr>
      <w:sz w:val="18"/>
    </w:rPr>
  </w:style>
  <w:style w:type="paragraph" w:customStyle="1" w:styleId="BodySmallRight">
    <w:name w:val="Body Small Right"/>
    <w:basedOn w:val="BodyTextRight"/>
    <w:rsid w:val="00A10404"/>
    <w:rPr>
      <w:sz w:val="18"/>
      <w:szCs w:val="18"/>
    </w:rPr>
  </w:style>
  <w:style w:type="paragraph" w:customStyle="1" w:styleId="MarginEdition">
    <w:name w:val="Margin Edition"/>
    <w:basedOn w:val="MarginNote"/>
    <w:rsid w:val="00A10404"/>
    <w:pPr>
      <w:spacing w:before="0" w:after="0"/>
    </w:pPr>
    <w:rPr>
      <w:rFonts w:ascii="Times New Roman" w:hAnsi="Times New Roman"/>
      <w:color w:val="999999"/>
    </w:rPr>
  </w:style>
  <w:style w:type="paragraph" w:customStyle="1" w:styleId="Spacer">
    <w:name w:val="Spacer"/>
    <w:basedOn w:val="Normal"/>
    <w:rsid w:val="00A10404"/>
    <w:rPr>
      <w:sz w:val="2"/>
      <w:szCs w:val="2"/>
    </w:rPr>
  </w:style>
  <w:style w:type="character" w:customStyle="1" w:styleId="Small">
    <w:name w:val="Small"/>
    <w:basedOn w:val="DefaultParagraphFont"/>
    <w:rsid w:val="00A10404"/>
    <w:rPr>
      <w:sz w:val="16"/>
    </w:rPr>
  </w:style>
  <w:style w:type="paragraph" w:customStyle="1" w:styleId="WideTable">
    <w:name w:val="Wide Table"/>
    <w:basedOn w:val="Normal"/>
    <w:rsid w:val="00A10404"/>
    <w:pPr>
      <w:ind w:left="-1418"/>
    </w:pPr>
    <w:rPr>
      <w:sz w:val="2"/>
      <w:szCs w:val="2"/>
    </w:rPr>
  </w:style>
  <w:style w:type="character" w:styleId="PageNumber">
    <w:name w:val="page number"/>
    <w:basedOn w:val="DefaultParagraphFont"/>
    <w:rsid w:val="00A10404"/>
  </w:style>
  <w:style w:type="paragraph" w:styleId="Quote">
    <w:name w:val="Quote"/>
    <w:basedOn w:val="Heading1"/>
    <w:link w:val="QuoteChar"/>
    <w:qFormat/>
    <w:rsid w:val="00A10404"/>
    <w:rPr>
      <w:b w:val="0"/>
      <w:sz w:val="72"/>
      <w:szCs w:val="72"/>
      <w:lang w:val="en-NZ"/>
    </w:rPr>
  </w:style>
  <w:style w:type="character" w:customStyle="1" w:styleId="QuoteChar">
    <w:name w:val="Quote Char"/>
    <w:basedOn w:val="DefaultParagraphFont"/>
    <w:link w:val="Quote"/>
    <w:rsid w:val="00A1040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10404"/>
    <w:pPr>
      <w:pageBreakBefore/>
    </w:pPr>
  </w:style>
  <w:style w:type="paragraph" w:customStyle="1" w:styleId="Border">
    <w:name w:val="Border"/>
    <w:basedOn w:val="Normal"/>
    <w:qFormat/>
    <w:rsid w:val="00A1040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10404"/>
    <w:rPr>
      <w:b/>
      <w:bCs/>
      <w:i/>
      <w:iCs/>
      <w:color w:val="auto"/>
    </w:rPr>
  </w:style>
  <w:style w:type="paragraph" w:styleId="IntenseQuote">
    <w:name w:val="Intense Quote"/>
    <w:basedOn w:val="Normal"/>
    <w:next w:val="Normal"/>
    <w:link w:val="IntenseQuoteChar"/>
    <w:uiPriority w:val="30"/>
    <w:qFormat/>
    <w:rsid w:val="00A1040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1040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10404"/>
    <w:rPr>
      <w:smallCaps/>
      <w:color w:val="auto"/>
      <w:u w:val="single"/>
    </w:rPr>
  </w:style>
  <w:style w:type="character" w:styleId="IntenseReference">
    <w:name w:val="Intense Reference"/>
    <w:basedOn w:val="DefaultParagraphFont"/>
    <w:uiPriority w:val="32"/>
    <w:qFormat/>
    <w:rsid w:val="00A10404"/>
    <w:rPr>
      <w:b/>
      <w:bCs/>
      <w:smallCaps/>
      <w:color w:val="auto"/>
      <w:spacing w:val="5"/>
      <w:u w:val="single"/>
    </w:rPr>
  </w:style>
  <w:style w:type="paragraph" w:customStyle="1" w:styleId="2ColumnHeading">
    <w:name w:val="2Column Heading"/>
    <w:basedOn w:val="BodyText"/>
    <w:qFormat/>
    <w:rsid w:val="00A10404"/>
    <w:pPr>
      <w:spacing w:after="60"/>
      <w:ind w:left="-2268"/>
    </w:pPr>
    <w:rPr>
      <w:b/>
    </w:rPr>
  </w:style>
  <w:style w:type="paragraph" w:customStyle="1" w:styleId="Heading1TOC">
    <w:name w:val="Heading1 TOC"/>
    <w:basedOn w:val="Normal"/>
    <w:qFormat/>
    <w:rsid w:val="00A10404"/>
    <w:pPr>
      <w:spacing w:before="240" w:after="120"/>
    </w:pPr>
    <w:rPr>
      <w:rFonts w:ascii="Times New Roman" w:hAnsi="Times New Roman"/>
      <w:b/>
      <w:sz w:val="32"/>
    </w:rPr>
  </w:style>
  <w:style w:type="paragraph" w:customStyle="1" w:styleId="Heading2TOC">
    <w:name w:val="Heading2 TOC"/>
    <w:basedOn w:val="Normal"/>
    <w:qFormat/>
    <w:rsid w:val="00A10404"/>
    <w:pPr>
      <w:spacing w:before="240" w:after="60"/>
    </w:pPr>
    <w:rPr>
      <w:rFonts w:ascii="Times New Roman" w:hAnsi="Times New Roman"/>
      <w:b/>
      <w:sz w:val="28"/>
    </w:rPr>
  </w:style>
  <w:style w:type="character" w:customStyle="1" w:styleId="Underline">
    <w:name w:val="Underline"/>
    <w:basedOn w:val="DefaultParagraphFont"/>
    <w:qFormat/>
    <w:rsid w:val="00A10404"/>
    <w:rPr>
      <w:u w:val="single"/>
    </w:rPr>
  </w:style>
  <w:style w:type="character" w:customStyle="1" w:styleId="BoldandItalics">
    <w:name w:val="Bold and Italics"/>
    <w:qFormat/>
    <w:rsid w:val="00A10404"/>
    <w:rPr>
      <w:b/>
      <w:i/>
      <w:u w:val="none"/>
    </w:rPr>
  </w:style>
  <w:style w:type="paragraph" w:styleId="BalloonText">
    <w:name w:val="Balloon Text"/>
    <w:basedOn w:val="Normal"/>
    <w:link w:val="BalloonTextChar"/>
    <w:rsid w:val="00A10404"/>
    <w:rPr>
      <w:rFonts w:ascii="Tahoma" w:hAnsi="Tahoma" w:cs="Tahoma"/>
      <w:sz w:val="16"/>
      <w:szCs w:val="16"/>
    </w:rPr>
  </w:style>
  <w:style w:type="character" w:customStyle="1" w:styleId="BalloonTextChar">
    <w:name w:val="Balloon Text Char"/>
    <w:basedOn w:val="DefaultParagraphFont"/>
    <w:link w:val="BalloonText"/>
    <w:rsid w:val="00A1040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1040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1040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10404"/>
    <w:rPr>
      <w:b/>
      <w:color w:val="660033"/>
      <w:spacing w:val="0"/>
    </w:rPr>
  </w:style>
  <w:style w:type="paragraph" w:customStyle="1" w:styleId="Nameditemlist">
    <w:name w:val="Named item list"/>
    <w:basedOn w:val="BodyText"/>
    <w:qFormat/>
    <w:rsid w:val="00A1040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1076</Words>
  <Characters>6985</Characters>
  <Application>Microsoft Office Word</Application>
  <DocSecurity>0</DocSecurity>
  <Lines>309</Lines>
  <Paragraphs>173</Paragraphs>
  <ScaleCrop>false</ScaleCrop>
  <Company>Author-it Software Corporation Ltd.</Company>
  <LinksUpToDate>false</LinksUpToDate>
  <CharactersWithSpaces>7996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MSFGG3019 Conduct commercial and structural re-glazing</dc:title>
  <dc:subject>Approved</dc:subject>
  <dc:creator>Manufacturing Skills Australia</dc:creator>
  <cp:keywords>Release: 1</cp:keywords>
  <dc:description>Review Date: 12 April 2008</dc:description>
  <cp:lastModifiedBy>TPCMS</cp:lastModifiedBy>
  <cp:revision>3</cp:revision>
  <dcterms:created xsi:type="dcterms:W3CDTF">2016-12-09T04:10:00Z</dcterms:created>
  <dcterms:modified xsi:type="dcterms:W3CDTF">2016-12-09T04:10:00Z</dcterms:modified>
</cp:coreProperties>
</file>