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2A4" w:rsidP="00AC12A4">
      <w:pPr>
        <w:pStyle w:val="Title"/>
      </w:pPr>
      <w:r>
        <w:fldChar w:fldCharType="begin"/>
      </w:r>
      <w:r>
        <w:instrText xml:space="preserve"> TITLE   \* MERGEFORMAT </w:instrText>
      </w:r>
      <w:r>
        <w:fldChar w:fldCharType="separate"/>
      </w:r>
      <w:r>
        <w:t>MSFGG3018 Prepare and install architectural engineered glazing</w:t>
      </w:r>
      <w:r>
        <w:fldChar w:fldCharType="end"/>
      </w:r>
    </w:p>
    <w:p w:rsidR="00AC12A4" w:rsidP="00AC12A4">
      <w:pPr>
        <w:pStyle w:val="Version"/>
        <w:sectPr w:rsidSect="00823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3EBC" w:rsidP="00823EBC">
      <w:pPr>
        <w:pStyle w:val="SuperHeading"/>
      </w:pPr>
      <w:r w:rsidRPr="00823EBC">
        <w:t>MSFGG3018 Prepare and install architectural engineered glazing</w:t>
      </w:r>
    </w:p>
    <w:p w:rsidR="00000000" w:rsidRPr="00823EBC" w:rsidP="00823EBC">
      <w:pPr>
        <w:pStyle w:val="Heading1"/>
      </w:pPr>
      <w:bookmarkStart w:id="1" w:name="O_798322"/>
      <w:bookmarkEnd w:id="1"/>
      <w:r w:rsidRPr="00823EBC">
        <w:t>Modification History</w:t>
      </w:r>
    </w:p>
    <w:p w:rsidR="00000000" w:rsidRPr="00823EBC" w:rsidP="00823EBC">
      <w:pPr>
        <w:pStyle w:val="BodyText"/>
      </w:pPr>
      <w:r w:rsidRPr="00823EBC">
        <w:t>Release 2 - Update of Australian Standards codes.  Statement regarding currency of Australian Standards included in Range of Conditions and Performance Evidence.</w:t>
      </w:r>
    </w:p>
    <w:p w:rsidR="00000000" w:rsidRPr="00823EBC" w:rsidP="00823EBC">
      <w:pPr>
        <w:pStyle w:val="BodyText"/>
      </w:pPr>
      <w:r w:rsidRPr="00823EBC">
        <w:t>Release 1 - New unit of competency</w:t>
      </w:r>
    </w:p>
    <w:p w:rsidR="00000000" w:rsidRPr="00823EBC" w:rsidP="00823EBC">
      <w:pPr>
        <w:pStyle w:val="AllowPageBreak"/>
      </w:pPr>
    </w:p>
    <w:p w:rsidR="00000000" w:rsidRPr="00823EBC" w:rsidP="00823EBC">
      <w:pPr>
        <w:pStyle w:val="Heading1"/>
      </w:pPr>
      <w:bookmarkStart w:id="2" w:name="O_798321"/>
      <w:bookmarkEnd w:id="2"/>
      <w:r w:rsidRPr="00823EBC">
        <w:t>Appli</w:t>
      </w:r>
      <w:r w:rsidRPr="00823EBC">
        <w:t>cation</w:t>
      </w:r>
    </w:p>
    <w:p w:rsidR="00000000" w:rsidRPr="00823EBC" w:rsidP="00823EBC">
      <w:pPr>
        <w:pStyle w:val="BodyText"/>
      </w:pPr>
      <w:r w:rsidRPr="00823EBC">
        <w:t>This unit of competency covers preparing and installing glass in structural and other architectural engineered applications.</w:t>
      </w:r>
    </w:p>
    <w:p w:rsidR="00000000" w:rsidRPr="00823EBC" w:rsidP="00823EBC">
      <w:pPr>
        <w:pStyle w:val="BodyText"/>
      </w:pPr>
    </w:p>
    <w:p w:rsidR="00000000" w:rsidRPr="00823EBC" w:rsidP="00823EBC">
      <w:pPr>
        <w:pStyle w:val="BodyText"/>
      </w:pPr>
      <w:r w:rsidRPr="00823EBC">
        <w:t>Licensing, legislative or certification requirements may apply to this unit and relevant state/territory and local governme</w:t>
      </w:r>
      <w:r w:rsidRPr="00823EBC">
        <w:t xml:space="preserve">nt agencies should be consulted to determine any necessary certification or licensing for undertaking glass and glazing work. Access to construction sites requires certification of general induction training specified by the </w:t>
      </w:r>
      <w:r w:rsidRPr="00823EBC">
        <w:rPr>
          <w:rStyle w:val="Emphasis"/>
        </w:rPr>
        <w:t>National Code of Practice for I</w:t>
      </w:r>
      <w:r w:rsidRPr="00823EBC">
        <w:rPr>
          <w:rStyle w:val="Emphasis"/>
        </w:rPr>
        <w:t>nduction for Construction Work</w:t>
      </w:r>
      <w:r w:rsidRPr="00823EBC">
        <w:t xml:space="preserve"> (ASCC 2007).</w:t>
      </w:r>
    </w:p>
    <w:p w:rsidR="00000000" w:rsidRPr="00823EBC" w:rsidP="00823EBC">
      <w:pPr>
        <w:pStyle w:val="AllowPageBreak"/>
      </w:pPr>
    </w:p>
    <w:p w:rsidR="00000000" w:rsidRPr="00823EBC" w:rsidP="00823EBC">
      <w:pPr>
        <w:pStyle w:val="Heading1"/>
      </w:pPr>
      <w:bookmarkStart w:id="3" w:name="O_798320"/>
      <w:bookmarkEnd w:id="3"/>
      <w:r w:rsidRPr="00823EBC">
        <w:t>Pre-requisite Unit</w:t>
      </w:r>
    </w:p>
    <w:p w:rsidR="00000000" w:rsidRPr="00823EBC" w:rsidP="00823EBC">
      <w:pPr>
        <w:pStyle w:val="Heading1"/>
      </w:pPr>
      <w:bookmarkStart w:id="4" w:name="O_798319"/>
      <w:bookmarkEnd w:id="4"/>
      <w:r w:rsidRPr="00823EBC">
        <w:t>Competency Field</w:t>
      </w:r>
    </w:p>
    <w:p w:rsidR="00000000" w:rsidRPr="00823EBC" w:rsidP="00823EBC">
      <w:pPr>
        <w:pStyle w:val="Heading1"/>
      </w:pPr>
      <w:bookmarkStart w:id="5" w:name="O_798318"/>
      <w:bookmarkEnd w:id="5"/>
      <w:r w:rsidRPr="00823EBC">
        <w:t>Unit Sector</w:t>
      </w:r>
    </w:p>
    <w:p w:rsidR="00000000" w:rsidRPr="00823EBC" w:rsidP="00823EBC">
      <w:pPr>
        <w:pStyle w:val="BodyText"/>
      </w:pPr>
      <w:r w:rsidRPr="00823EBC">
        <w:t>Glass and Glazing</w:t>
      </w:r>
    </w:p>
    <w:p w:rsidR="00000000" w:rsidRPr="00823EBC" w:rsidP="00823EBC">
      <w:pPr>
        <w:pStyle w:val="AllowPageBreak"/>
      </w:pPr>
    </w:p>
    <w:p w:rsidR="00000000" w:rsidRPr="00823EBC" w:rsidP="00823EBC">
      <w:pPr>
        <w:pStyle w:val="Heading1"/>
      </w:pPr>
      <w:bookmarkStart w:id="6" w:name="O_798317"/>
      <w:bookmarkEnd w:id="6"/>
      <w:r w:rsidRPr="00823EBC">
        <w:t>Elements and Performance Criteria</w:t>
      </w:r>
    </w:p>
    <w:tbl>
      <w:tblPr>
        <w:tblW w:w="9286" w:type="dxa"/>
        <w:tblLayout w:type="fixed"/>
        <w:tblCellMar>
          <w:left w:w="62" w:type="dxa"/>
          <w:right w:w="62" w:type="dxa"/>
        </w:tblCellMar>
        <w:tblLook w:val="0000"/>
      </w:tblPr>
      <w:tblGrid>
        <w:gridCol w:w="515"/>
        <w:gridCol w:w="2244"/>
        <w:gridCol w:w="751"/>
        <w:gridCol w:w="5776"/>
      </w:tblGrid>
      <w:tr w:rsidTr="00823EB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Per</w:t>
            </w:r>
            <w:r w:rsidRPr="00823EBC">
              <w:t>formance criteria describe the performance needed to demonstrate achievement of the element.</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1</w:t>
            </w:r>
          </w:p>
        </w:tc>
        <w:tc>
          <w:tcPr>
            <w:tcW w:w="2244"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Identify work requirements</w:t>
            </w: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1.1</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Work requirements in the form of type of glass, frames and the method of fixing are identified from work instructions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1.2</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Work health and safety (WHS) requirements for fabrication and installation of architectural engineered glazing, including personal protective equipment, are identified and observed throughout the work</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1.3</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The process for fabricating and installing archi</w:t>
            </w:r>
            <w:r w:rsidRPr="00823EBC">
              <w:t>tectural engineered glazing is identified</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w:t>
            </w:r>
          </w:p>
        </w:tc>
        <w:tc>
          <w:tcPr>
            <w:tcW w:w="2244"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Prepare for work</w:t>
            </w: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2.1</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Work sequence is planned in a logical order to suit the job and workplace procedures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2.2</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Tools, equipment and materials, other than glass, acrylic glazing products and fr</w:t>
            </w:r>
            <w:r w:rsidRPr="00823EBC">
              <w:t>ames, are selected and checked prior to use to ensure they are appropriate for the work, serviceable and in a safe condition</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2.3</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Type of glass and/or acrylic glazing products to be fitted and frames are selected to match the customer order, requirements</w:t>
            </w:r>
            <w:r w:rsidRPr="00823EBC">
              <w:t xml:space="preserve"> for security, noise or light control and relevant Australian Standards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2.4</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Glass is checked for type, size and imperfections and the appropriate glass fixing method selected to meet specifications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2.5</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Ladders and scaffolding to comply with the relevant regulations and standards are identified and erected, where required, for the installation</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2.6</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 xml:space="preserve">Frame or opening is prepared to receive glass </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2.7</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 xml:space="preserve">Fixing and sealing materials are prepared by mixing </w:t>
            </w:r>
            <w:r w:rsidRPr="00823EBC">
              <w:t>or cutting to length, as appropriate</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3</w:t>
            </w:r>
          </w:p>
        </w:tc>
        <w:tc>
          <w:tcPr>
            <w:tcW w:w="2244"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3.1</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Site safety hazards are recognised and corrective action taken to reduce injury to self and others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3.2</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Any on-site difficulties are identified and addressed in accordan</w:t>
            </w:r>
            <w:r w:rsidRPr="00823EBC">
              <w:t>ce with regulations and enterprise agreements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3.3</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Special characteristics of the glass aperture are identified in relation to the effect of the glass fitting process on the finished job</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3.4</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Covering material is applied, where necessary, to protect existing fixtures and fittings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4</w:t>
            </w:r>
          </w:p>
        </w:tc>
        <w:tc>
          <w:tcPr>
            <w:tcW w:w="2244"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Fit glass</w:t>
            </w: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4.1</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Glass and/or acrylic glazing product is fixed to the frame or opening using the selected method and in accordance with recognised Australian and indus</w:t>
            </w:r>
            <w:r w:rsidRPr="00823EBC">
              <w:t>try standards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4.2</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Solvents and sealants are used in accordance with manufacturer recommendations and Australian Standards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4.3</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Excess sealing material is removed and the glass and frame cleaned after fixing</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w:t>
            </w:r>
          </w:p>
        </w:tc>
        <w:tc>
          <w:tcPr>
            <w:tcW w:w="2244"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 xml:space="preserve">Inspect </w:t>
            </w:r>
            <w:r w:rsidRPr="00823EBC">
              <w:t>final product and clean up work area</w:t>
            </w: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5.1</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Completed installation is checked to ensure compliance with customer requirements, specifications and Australian Standards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5.2</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 xml:space="preserve">Work area is cleaned and left in a safe condition and rubbish removed from work area </w:t>
            </w:r>
            <w:r w:rsidRPr="00823EBC">
              <w:t>and disposed of in accordance with relevant statutory requirements and enterprise requirements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5.3</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Any ladders or scaffolding used in the installation are disassembled and removed</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5.4</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Tools, equipment and materials are cleaned and stored following workplace procedures</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5.5</w:t>
            </w:r>
          </w:p>
        </w:tc>
        <w:tc>
          <w:tcPr>
            <w:tcW w:w="5776"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 xml:space="preserve">Waste and scrap material are removed for disposal or recycling, as required </w:t>
            </w:r>
          </w:p>
        </w:tc>
      </w:tr>
      <w:tr w:rsidTr="00823EBC">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5.6</w:t>
            </w:r>
          </w:p>
        </w:tc>
        <w:tc>
          <w:tcPr>
            <w:tcW w:w="5776" w:type="dxa"/>
            <w:tcBorders>
              <w:top w:val="nil"/>
              <w:left w:val="nil"/>
              <w:bottom w:val="nil"/>
              <w:right w:val="nil"/>
            </w:tcBorders>
            <w:tcMar>
              <w:top w:w="0" w:type="dxa"/>
              <w:left w:w="62" w:type="dxa"/>
              <w:bottom w:w="0" w:type="dxa"/>
              <w:right w:w="62" w:type="dxa"/>
            </w:tcMar>
          </w:tcPr>
          <w:p w:rsidR="00000000" w:rsidRPr="00823EBC" w:rsidP="00823EBC">
            <w:pPr>
              <w:pStyle w:val="BodyText"/>
            </w:pPr>
            <w:r w:rsidRPr="00823EBC">
              <w:t xml:space="preserve">Workplace documentation is completed in accordance with workplace requirements, </w:t>
            </w:r>
            <w:r w:rsidRPr="00823EBC">
              <w:t>including calculating the cost of glass, fittings, materials and labour</w:t>
            </w:r>
          </w:p>
        </w:tc>
      </w:tr>
    </w:tbl>
    <w:p w:rsidR="00000000" w:rsidRPr="00823EBC" w:rsidP="00823EBC">
      <w:pPr>
        <w:pStyle w:val="BodyText"/>
      </w:pPr>
    </w:p>
    <w:p w:rsidR="00000000" w:rsidRPr="00823EBC" w:rsidP="00823EBC">
      <w:pPr>
        <w:pStyle w:val="AllowPageBreak"/>
      </w:pPr>
    </w:p>
    <w:p w:rsidR="00000000" w:rsidRPr="00823EBC" w:rsidP="00823EBC">
      <w:pPr>
        <w:pStyle w:val="Heading1"/>
      </w:pPr>
      <w:bookmarkStart w:id="7" w:name="O_798316"/>
      <w:bookmarkEnd w:id="7"/>
      <w:r w:rsidRPr="00823EBC">
        <w:t>Foundation Skills</w:t>
      </w:r>
    </w:p>
    <w:p w:rsidR="00000000" w:rsidRPr="00823EBC" w:rsidP="00823EBC">
      <w:pPr>
        <w:pStyle w:val="BodyText"/>
      </w:pPr>
      <w:r w:rsidRPr="00823EBC">
        <w:t>Foundation skills essential to performance are explicit in the performance criteria of this unit of competency. Detail on appropriate performance l</w:t>
      </w:r>
      <w:r w:rsidRPr="00823EBC">
        <w:t>evels for each furnishing unit of competency in reading, writing, oral communication and numeracy utilising the Australian Core Skills Framework (ACSF) are provided in the Furnishing Training Package Implementation Guide.</w:t>
      </w:r>
    </w:p>
    <w:p w:rsidR="00000000" w:rsidRPr="00823EBC" w:rsidP="00823EBC">
      <w:pPr>
        <w:pStyle w:val="AllowPageBreak"/>
      </w:pPr>
    </w:p>
    <w:p w:rsidR="00000000" w:rsidRPr="00823EBC" w:rsidP="00823EBC">
      <w:pPr>
        <w:pStyle w:val="Heading1"/>
      </w:pPr>
      <w:bookmarkStart w:id="8" w:name="O_798315"/>
      <w:bookmarkEnd w:id="8"/>
      <w:r w:rsidRPr="00823EBC">
        <w:t>Range of Conditio</w:t>
      </w:r>
      <w:r w:rsidRPr="00823EBC">
        <w:t>ns</w:t>
      </w:r>
    </w:p>
    <w:tbl>
      <w:tblPr>
        <w:tblW w:w="0" w:type="auto"/>
        <w:tblLayout w:type="fixed"/>
        <w:tblCellMar>
          <w:left w:w="62" w:type="dxa"/>
          <w:right w:w="62" w:type="dxa"/>
        </w:tblCellMar>
        <w:tblLook w:val="0000"/>
      </w:tblPr>
      <w:tblGrid>
        <w:gridCol w:w="2760"/>
        <w:gridCol w:w="6312"/>
      </w:tblGrid>
      <w:tr w:rsidTr="00823E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t>Specifies different work environments and conditions that may affect performance. Essential operating conditions that may be present (depending on the work situation, needs of the candidate, accessibility of the item, and local industry and regional con</w:t>
            </w:r>
            <w:r w:rsidRPr="00823EBC">
              <w:t>texts) are included. Range is restricted to essential operating conditions and any other variables essential to the work environment.</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 xml:space="preserve">WHS requirements, including legislation, building codes, material safety management </w:t>
            </w:r>
            <w:r w:rsidRPr="00823EBC">
              <w:t xml:space="preserve">systems, hazardous and dangerous goods codes, and local safe operating procedures or equivalent </w:t>
            </w:r>
          </w:p>
          <w:p w:rsidR="00000000" w:rsidRPr="00823EBC" w:rsidP="00823EBC">
            <w:pPr>
              <w:pStyle w:val="ListBullet"/>
            </w:pPr>
            <w:r w:rsidRPr="00823EBC">
              <w:t>work is carried out in accordance with legislative obligations, environmental legislation, relevant health regulations, manual handling procedures and organisa</w:t>
            </w:r>
            <w:r w:rsidRPr="00823EBC">
              <w:t>tion insurance requirements</w:t>
            </w:r>
          </w:p>
          <w:p w:rsidR="00000000" w:rsidP="00823EBC">
            <w:pPr>
              <w:pStyle w:val="ListBullet"/>
              <w:rPr>
                <w:lang w:val="en-NZ"/>
              </w:rPr>
            </w:pPr>
            <w:r w:rsidRPr="00823EBC">
              <w:t xml:space="preserve">work requires individuals to demonstrate some discretion, judgement and problem solving </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annealed glass</w:t>
            </w:r>
          </w:p>
          <w:p w:rsidR="00000000" w:rsidRPr="00823EBC" w:rsidP="00823EBC">
            <w:pPr>
              <w:pStyle w:val="ListBullet"/>
            </w:pPr>
            <w:r w:rsidRPr="00823EBC">
              <w:t>toughened glass</w:t>
            </w:r>
          </w:p>
          <w:p w:rsidR="00000000" w:rsidRPr="00823EBC" w:rsidP="00823EBC">
            <w:pPr>
              <w:pStyle w:val="ListBullet"/>
            </w:pPr>
            <w:r w:rsidRPr="00823EBC">
              <w:t>laminated glass</w:t>
            </w:r>
          </w:p>
          <w:p w:rsidR="00000000" w:rsidRPr="00823EBC" w:rsidP="00823EBC">
            <w:pPr>
              <w:pStyle w:val="ListBullet"/>
            </w:pPr>
            <w:r w:rsidRPr="00823EBC">
              <w:t>wired glass</w:t>
            </w:r>
          </w:p>
          <w:p w:rsidR="00000000" w:rsidRPr="00823EBC" w:rsidP="00823EBC">
            <w:pPr>
              <w:pStyle w:val="ListBullet"/>
            </w:pPr>
            <w:r w:rsidRPr="00823EBC">
              <w:t>bandit-resistant glass</w:t>
            </w:r>
          </w:p>
          <w:p w:rsidR="00000000" w:rsidRPr="00823EBC" w:rsidP="00823EBC">
            <w:pPr>
              <w:pStyle w:val="ListBullet"/>
            </w:pPr>
            <w:r w:rsidRPr="00823EBC">
              <w:t>bullet-resistant glass</w:t>
            </w:r>
          </w:p>
          <w:p w:rsidR="00000000" w:rsidRPr="00823EBC" w:rsidP="00823EBC">
            <w:pPr>
              <w:pStyle w:val="ListBullet"/>
            </w:pPr>
            <w:r w:rsidRPr="00823EBC">
              <w:t>heat-reflective glass</w:t>
            </w:r>
          </w:p>
          <w:p w:rsidR="00000000" w:rsidRPr="00823EBC" w:rsidP="00823EBC">
            <w:pPr>
              <w:pStyle w:val="ListBullet"/>
            </w:pPr>
            <w:r w:rsidRPr="00823EBC">
              <w:t xml:space="preserve">solar controlled glass </w:t>
            </w:r>
          </w:p>
          <w:p w:rsidR="00000000" w:rsidP="00823EBC">
            <w:pPr>
              <w:pStyle w:val="ListBullet"/>
              <w:rPr>
                <w:lang w:val="en-NZ"/>
              </w:rPr>
            </w:pPr>
            <w:r w:rsidRPr="00823EBC">
              <w:t>spandral panels</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Methods of fixing 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consideration of the specification</w:t>
            </w:r>
          </w:p>
          <w:p w:rsidR="00000000" w:rsidRPr="00823EBC" w:rsidP="00823EBC">
            <w:pPr>
              <w:pStyle w:val="ListBullet"/>
            </w:pPr>
            <w:r w:rsidRPr="00823EBC">
              <w:t>type of glass and frame</w:t>
            </w:r>
          </w:p>
          <w:p w:rsidR="00000000" w:rsidRPr="00823EBC" w:rsidP="00823EBC">
            <w:pPr>
              <w:pStyle w:val="ListBullet"/>
            </w:pPr>
            <w:r w:rsidRPr="00823EBC">
              <w:t>security requirements</w:t>
            </w:r>
          </w:p>
          <w:p w:rsidR="00000000" w:rsidRPr="00823EBC" w:rsidP="00823EBC">
            <w:pPr>
              <w:pStyle w:val="ListBullet"/>
            </w:pPr>
            <w:r w:rsidRPr="00823EBC">
              <w:t>sealing methods</w:t>
            </w:r>
          </w:p>
          <w:p w:rsidR="00000000" w:rsidRPr="00823EBC" w:rsidP="00823EBC">
            <w:pPr>
              <w:pStyle w:val="ListBullet"/>
            </w:pPr>
            <w:r w:rsidRPr="00823EBC">
              <w:t>relevant Australian Standards</w:t>
            </w:r>
          </w:p>
          <w:p w:rsidR="00000000" w:rsidRPr="00823EBC" w:rsidP="00823EBC">
            <w:pPr>
              <w:pStyle w:val="ListBullet"/>
            </w:pPr>
            <w:r w:rsidRPr="00823EBC">
              <w:t>glazing methods:</w:t>
            </w:r>
          </w:p>
          <w:p w:rsidR="00000000" w:rsidRPr="00823EBC" w:rsidP="00823EBC">
            <w:pPr>
              <w:pStyle w:val="ListBullet2"/>
            </w:pPr>
            <w:r w:rsidRPr="00823EBC">
              <w:t>beaded</w:t>
            </w:r>
          </w:p>
          <w:p w:rsidR="00000000" w:rsidRPr="00823EBC" w:rsidP="00823EBC">
            <w:pPr>
              <w:pStyle w:val="ListBullet2"/>
            </w:pPr>
            <w:r w:rsidRPr="00823EBC">
              <w:t>pocket</w:t>
            </w:r>
          </w:p>
          <w:p w:rsidR="00000000" w:rsidRPr="00823EBC" w:rsidP="00823EBC">
            <w:pPr>
              <w:pStyle w:val="ListBullet2"/>
            </w:pPr>
            <w:r w:rsidRPr="00823EBC">
              <w:t>flush</w:t>
            </w:r>
          </w:p>
          <w:p w:rsidR="00000000" w:rsidRPr="00823EBC" w:rsidP="00823EBC">
            <w:pPr>
              <w:pStyle w:val="ListBullet2"/>
            </w:pPr>
            <w:r w:rsidRPr="00823EBC">
              <w:t xml:space="preserve">channel glazing </w:t>
            </w:r>
          </w:p>
          <w:p w:rsidR="00000000" w:rsidP="00823EBC">
            <w:pPr>
              <w:pStyle w:val="ListBullet2"/>
              <w:rPr>
                <w:lang w:val="en-NZ"/>
              </w:rPr>
            </w:pPr>
            <w:r w:rsidRPr="00823EBC">
              <w:t xml:space="preserve">structural glazing </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Fabricating and installing 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aluminium glazing systems, including planar assemblies, curtain wall systems, spider assemblies and panel wall systems (hung and stacked)</w:t>
            </w:r>
          </w:p>
          <w:p w:rsidR="00000000" w:rsidP="00823EBC">
            <w:pPr>
              <w:pStyle w:val="ListBullet"/>
              <w:rPr>
                <w:lang w:val="en-NZ"/>
              </w:rPr>
            </w:pPr>
            <w:r w:rsidRPr="00823EBC">
              <w:t>identifying and erecting appropriate ladders and scaffolding</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 xml:space="preserve">Tools and equipment </w:t>
            </w:r>
            <w:r w:rsidRPr="00823EBC">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general cutting and glazing tools</w:t>
            </w:r>
          </w:p>
          <w:p w:rsidR="00000000" w:rsidRPr="00823EBC" w:rsidP="00823EBC">
            <w:pPr>
              <w:pStyle w:val="ListBullet"/>
            </w:pPr>
            <w:r w:rsidRPr="00823EBC">
              <w:t>electric and pneumatic portable power tools</w:t>
            </w:r>
          </w:p>
          <w:p w:rsidR="00000000" w:rsidRPr="00823EBC" w:rsidP="00823EBC">
            <w:pPr>
              <w:pStyle w:val="ListBullet"/>
            </w:pPr>
            <w:r w:rsidRPr="00823EBC">
              <w:t>saws</w:t>
            </w:r>
          </w:p>
          <w:p w:rsidR="00000000" w:rsidRPr="00823EBC" w:rsidP="00823EBC">
            <w:pPr>
              <w:pStyle w:val="ListBullet"/>
            </w:pPr>
            <w:r w:rsidRPr="00823EBC">
              <w:t xml:space="preserve">drills </w:t>
            </w:r>
          </w:p>
          <w:p w:rsidR="00000000" w:rsidP="00823EBC">
            <w:pPr>
              <w:pStyle w:val="ListBullet"/>
              <w:rPr>
                <w:lang w:val="en-NZ"/>
              </w:rPr>
            </w:pPr>
            <w:r w:rsidRPr="00823EBC">
              <w:t>portable compressors</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all forms of flat glass and acr</w:t>
            </w:r>
            <w:r w:rsidRPr="00823EBC">
              <w:t>ylic glazing products</w:t>
            </w:r>
          </w:p>
          <w:p w:rsidR="00000000" w:rsidRPr="00823EBC" w:rsidP="00823EBC">
            <w:pPr>
              <w:pStyle w:val="ListBullet"/>
            </w:pPr>
            <w:r w:rsidRPr="00823EBC">
              <w:t>plastic</w:t>
            </w:r>
          </w:p>
          <w:p w:rsidR="00000000" w:rsidRPr="00823EBC" w:rsidP="00823EBC">
            <w:pPr>
              <w:pStyle w:val="ListBullet"/>
            </w:pPr>
            <w:r w:rsidRPr="00823EBC">
              <w:t>aluminium</w:t>
            </w:r>
          </w:p>
          <w:p w:rsidR="00000000" w:rsidRPr="00823EBC" w:rsidP="00823EBC">
            <w:pPr>
              <w:pStyle w:val="ListBullet"/>
            </w:pPr>
            <w:r w:rsidRPr="00823EBC">
              <w:t>steel</w:t>
            </w:r>
          </w:p>
          <w:p w:rsidR="00000000" w:rsidRPr="00823EBC" w:rsidP="00823EBC">
            <w:pPr>
              <w:pStyle w:val="ListBullet"/>
            </w:pPr>
            <w:r w:rsidRPr="00823EBC">
              <w:t>solid timber</w:t>
            </w:r>
          </w:p>
          <w:p w:rsidR="00000000" w:rsidRPr="00823EBC" w:rsidP="00823EBC">
            <w:pPr>
              <w:pStyle w:val="ListBullet"/>
            </w:pPr>
            <w:r w:rsidRPr="00823EBC">
              <w:t>gaskets</w:t>
            </w:r>
          </w:p>
          <w:p w:rsidR="00000000" w:rsidRPr="00823EBC" w:rsidP="00823EBC">
            <w:pPr>
              <w:pStyle w:val="ListBullet"/>
            </w:pPr>
            <w:r w:rsidRPr="00823EBC">
              <w:t xml:space="preserve">sealants </w:t>
            </w:r>
          </w:p>
          <w:p w:rsidR="00000000" w:rsidP="00823EBC">
            <w:pPr>
              <w:pStyle w:val="ListBullet"/>
              <w:rPr>
                <w:lang w:val="en-NZ"/>
              </w:rPr>
            </w:pPr>
            <w:r w:rsidRPr="00823EBC">
              <w:t>adhesives</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cleaning</w:t>
            </w:r>
          </w:p>
          <w:p w:rsidR="00000000" w:rsidRPr="00823EBC" w:rsidP="00823EBC">
            <w:pPr>
              <w:pStyle w:val="ListBullet"/>
            </w:pPr>
            <w:r w:rsidRPr="00823EBC">
              <w:t>surface preparation (if required)</w:t>
            </w:r>
          </w:p>
          <w:p w:rsidR="00000000" w:rsidP="00823EBC">
            <w:pPr>
              <w:pStyle w:val="ListBullet"/>
              <w:rPr>
                <w:lang w:val="en-NZ"/>
              </w:rPr>
            </w:pPr>
            <w:r w:rsidRPr="00823EBC">
              <w:t>checking size against specification</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3EBC" w:rsidP="00823EBC">
            <w:pPr>
              <w:pStyle w:val="BodyText"/>
            </w:pPr>
            <w:r w:rsidRPr="00823EBC">
              <w:rPr>
                <w:rStyle w:val="SpecialBold"/>
              </w:rPr>
              <w:t>Personal protective equipment includes:</w:t>
            </w:r>
          </w:p>
          <w:p w:rsidR="00000000" w:rsidP="00823EB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that prescribed under legislation, regulation and enterprise policies and practices:</w:t>
            </w:r>
          </w:p>
          <w:p w:rsidR="00000000" w:rsidRPr="00823EBC" w:rsidP="00823EBC">
            <w:pPr>
              <w:pStyle w:val="ListBullet2"/>
            </w:pPr>
            <w:r w:rsidRPr="00823EBC">
              <w:t>gauntlets</w:t>
            </w:r>
          </w:p>
          <w:p w:rsidR="00000000" w:rsidRPr="00823EBC" w:rsidP="00823EBC">
            <w:pPr>
              <w:pStyle w:val="ListBullet2"/>
            </w:pPr>
            <w:r w:rsidRPr="00823EBC">
              <w:t>gloves</w:t>
            </w:r>
          </w:p>
          <w:p w:rsidR="00000000" w:rsidRPr="00823EBC" w:rsidP="00823EBC">
            <w:pPr>
              <w:pStyle w:val="ListBullet2"/>
            </w:pPr>
            <w:r w:rsidRPr="00823EBC">
              <w:t>safety glasses</w:t>
            </w:r>
          </w:p>
          <w:p w:rsidR="00000000" w:rsidRPr="00823EBC" w:rsidP="00823EBC">
            <w:pPr>
              <w:pStyle w:val="ListBullet2"/>
            </w:pPr>
            <w:r w:rsidRPr="00823EBC">
              <w:t>hard hats</w:t>
            </w:r>
          </w:p>
          <w:p w:rsidR="00000000" w:rsidRPr="00823EBC" w:rsidP="00823EBC">
            <w:pPr>
              <w:pStyle w:val="ListBullet2"/>
            </w:pPr>
            <w:r w:rsidRPr="00823EBC">
              <w:t>safety footwear</w:t>
            </w:r>
          </w:p>
          <w:p w:rsidR="00000000" w:rsidP="00823EBC">
            <w:pPr>
              <w:pStyle w:val="ListBullet2"/>
              <w:rPr>
                <w:lang w:val="en-NZ"/>
              </w:rPr>
            </w:pPr>
            <w:r w:rsidRPr="00823EBC">
              <w:t>aprons and overalls</w:t>
            </w:r>
          </w:p>
        </w:tc>
      </w:tr>
      <w:tr w:rsidTr="00823E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3EBC">
            <w:pPr>
              <w:pStyle w:val="BodyText"/>
              <w:rPr>
                <w:lang w:val="en-NZ"/>
              </w:rPr>
            </w:pPr>
            <w:r w:rsidRPr="00823EB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23EBC" w:rsidP="00823EBC">
            <w:pPr>
              <w:pStyle w:val="ListBullet"/>
            </w:pPr>
            <w:r w:rsidRPr="00823EBC">
              <w:t xml:space="preserve">workplace procedures relating to the use of tools and equipment and personal protective equipment </w:t>
            </w:r>
          </w:p>
          <w:p w:rsidR="00000000" w:rsidRPr="00823EBC" w:rsidP="00823EBC">
            <w:pPr>
              <w:pStyle w:val="ListBullet"/>
            </w:pPr>
            <w:r w:rsidRPr="00823EBC">
              <w:t xml:space="preserve">work instructions, including job sheets, cutting lists, plans, drawings and designs </w:t>
            </w:r>
          </w:p>
          <w:p w:rsidR="00000000" w:rsidRPr="00823EBC" w:rsidP="00823EBC">
            <w:pPr>
              <w:pStyle w:val="ListBullet"/>
            </w:pPr>
            <w:r w:rsidRPr="00823EBC">
              <w:t xml:space="preserve">workplace procedures relating to reporting and communication </w:t>
            </w:r>
          </w:p>
          <w:p w:rsidR="00000000" w:rsidRPr="00823EBC" w:rsidP="00823EBC">
            <w:pPr>
              <w:pStyle w:val="ListBullet"/>
            </w:pPr>
            <w:r w:rsidRPr="00823EBC">
              <w:t>manufacturer specifications and operational procedures</w:t>
            </w:r>
          </w:p>
          <w:p w:rsidR="00000000" w:rsidRPr="00823EBC" w:rsidP="00823EBC">
            <w:pPr>
              <w:pStyle w:val="ListBullet"/>
            </w:pPr>
            <w:r w:rsidRPr="00823EBC">
              <w:t xml:space="preserve">Australian Standards: </w:t>
            </w:r>
          </w:p>
          <w:p w:rsidR="00000000" w:rsidRPr="00823EBC" w:rsidP="00823EBC">
            <w:pPr>
              <w:pStyle w:val="ListBullet2"/>
            </w:pPr>
            <w:r w:rsidRPr="00823EBC">
              <w:t xml:space="preserve">AS 1288:2006 Glass in buildings - Selection and installation </w:t>
            </w:r>
          </w:p>
          <w:p w:rsidR="00000000" w:rsidRPr="00823EBC" w:rsidP="00823EBC">
            <w:pPr>
              <w:pStyle w:val="ListBullet2"/>
            </w:pPr>
            <w:r w:rsidRPr="00823EBC">
              <w:t xml:space="preserve">AS/NZS 2208:1996 Safety glazing materials in buildings </w:t>
            </w:r>
          </w:p>
          <w:p w:rsidR="00000000" w:rsidRPr="00823EBC" w:rsidP="00823EBC">
            <w:pPr>
              <w:pStyle w:val="ListBullet2"/>
            </w:pPr>
            <w:r w:rsidRPr="00823EBC">
              <w:t>AS/NZS 4667:2000 Quality requirements for cut-to-size and p</w:t>
            </w:r>
            <w:r w:rsidRPr="00823EBC">
              <w:t xml:space="preserve">rocessed glass </w:t>
            </w:r>
          </w:p>
          <w:p w:rsidR="00000000" w:rsidRPr="00823EBC" w:rsidP="00823EBC">
            <w:pPr>
              <w:pStyle w:val="ListBullet2"/>
            </w:pPr>
            <w:r w:rsidRPr="00823EBC">
              <w:t xml:space="preserve">AS 4285:2007 Skylights </w:t>
            </w:r>
          </w:p>
          <w:p w:rsidR="00000000" w:rsidRPr="00823EBC" w:rsidP="00823EBC">
            <w:pPr>
              <w:pStyle w:val="ListBullet2"/>
            </w:pPr>
            <w:r w:rsidRPr="00823EBC">
              <w:t>AS/NZS 4666:2012 Insulating glass units</w:t>
            </w:r>
          </w:p>
          <w:p w:rsidR="00000000" w:rsidRPr="00823EBC" w:rsidP="00823EBC">
            <w:pPr>
              <w:pStyle w:val="BodyText"/>
            </w:pPr>
            <w:r w:rsidRPr="00823EBC">
              <w:t>Note, wherever Australia Standards are listed they apply at the time of publication, but the most current version (including amendments) or replacement versions are to be used.</w:t>
            </w:r>
          </w:p>
        </w:tc>
      </w:tr>
    </w:tbl>
    <w:p w:rsidR="00000000" w:rsidRPr="00823EBC" w:rsidP="00823EBC">
      <w:pPr>
        <w:pStyle w:val="BodyText"/>
      </w:pPr>
    </w:p>
    <w:p w:rsidR="00000000" w:rsidRPr="00823EBC" w:rsidP="00823EBC">
      <w:pPr>
        <w:pStyle w:val="AllowPageBreak"/>
      </w:pPr>
    </w:p>
    <w:p w:rsidR="00000000" w:rsidRPr="00823EBC" w:rsidP="00823EBC">
      <w:pPr>
        <w:pStyle w:val="Heading1"/>
      </w:pPr>
      <w:bookmarkStart w:id="9" w:name="O_798314"/>
      <w:bookmarkEnd w:id="9"/>
      <w:r w:rsidRPr="00823EBC">
        <w:t>Unit Mapping Information</w:t>
      </w:r>
    </w:p>
    <w:p w:rsidR="00000000" w:rsidRPr="00823EBC" w:rsidP="00823EBC">
      <w:pPr>
        <w:pStyle w:val="BodyText"/>
      </w:pPr>
      <w:r w:rsidRPr="00823EBC">
        <w:t>Supersedes and is equivalent to LMFGG3018C Prepare and install architectural engineered glazing.</w:t>
      </w:r>
    </w:p>
    <w:p w:rsidR="00000000" w:rsidRPr="00823EBC" w:rsidP="00823EBC">
      <w:pPr>
        <w:pStyle w:val="AllowPageBreak"/>
      </w:pPr>
    </w:p>
    <w:p w:rsidR="00000000" w:rsidRPr="00823EBC" w:rsidP="00823EBC">
      <w:pPr>
        <w:pStyle w:val="Heading1"/>
      </w:pPr>
      <w:bookmarkStart w:id="10" w:name="O_798323"/>
      <w:bookmarkEnd w:id="10"/>
      <w:r w:rsidRPr="00823EBC">
        <w:t>Links</w:t>
      </w:r>
    </w:p>
    <w:p w:rsidR="00000000" w:rsidRPr="00823EBC" w:rsidP="00823EBC">
      <w:pPr>
        <w:pStyle w:val="BodyText"/>
      </w:pPr>
      <w:r w:rsidRPr="00823EBC">
        <w:t>Companion Volume implementation guides are found in VETNet - https://vetnet.education.gov.au/Pages/TrainingDocs.aspx?q=0601ab95-583a-4e93-b2d4-cfb27b03ed73</w:t>
      </w:r>
    </w:p>
    <w:p w:rsidR="00000000" w:rsidRPr="00823EBC" w:rsidP="00823EBC"/>
    <w:sectPr w:rsidSect="00823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BC" w:rsidRPr="00AC12A4" w:rsidP="00AC1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A4" w:rsidP="00823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12A4" w:rsidP="00823E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2A4" w:rsidP="00823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EBC" w:rsidRPr="00AC12A4" w:rsidP="00AC1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A4" w:rsidRPr="002D2AF8" w:rsidP="00823EBC">
    <w:pPr>
      <w:pStyle w:val="Header"/>
      <w:framePr w:wrap="around"/>
    </w:pPr>
    <w:r>
      <w:fldChar w:fldCharType="begin"/>
    </w:r>
    <w:r>
      <w:instrText xml:space="preserve"> TITLE   \* MERGEFORMAT </w:instrText>
    </w:r>
    <w:r>
      <w:fldChar w:fldCharType="separate"/>
    </w:r>
    <w:r>
      <w:t>MSFGG3018 Prepare and install architectural engineered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C12A4" w:rsidP="00823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E2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45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C0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EBC"/>
    <w:pPr>
      <w:spacing w:before="360" w:after="60"/>
      <w:outlineLvl w:val="0"/>
    </w:pPr>
    <w:rPr>
      <w:sz w:val="32"/>
    </w:rPr>
  </w:style>
  <w:style w:type="paragraph" w:styleId="Heading2">
    <w:name w:val="heading 2"/>
    <w:basedOn w:val="HeadingBase"/>
    <w:next w:val="BodyText"/>
    <w:link w:val="Heading2Char"/>
    <w:qFormat/>
    <w:rsid w:val="00823EBC"/>
    <w:pPr>
      <w:keepLines/>
      <w:spacing w:before="240" w:after="120"/>
      <w:outlineLvl w:val="1"/>
    </w:pPr>
    <w:rPr>
      <w:sz w:val="28"/>
      <w:szCs w:val="40"/>
    </w:rPr>
  </w:style>
  <w:style w:type="paragraph" w:styleId="Heading3">
    <w:name w:val="heading 3"/>
    <w:basedOn w:val="HeadingBase"/>
    <w:next w:val="BodyText"/>
    <w:link w:val="Heading3Char"/>
    <w:qFormat/>
    <w:rsid w:val="00823EBC"/>
    <w:pPr>
      <w:spacing w:before="180" w:after="120"/>
      <w:outlineLvl w:val="2"/>
    </w:pPr>
    <w:rPr>
      <w:spacing w:val="-10"/>
      <w:kern w:val="32"/>
    </w:rPr>
  </w:style>
  <w:style w:type="paragraph" w:styleId="Heading4">
    <w:name w:val="heading 4"/>
    <w:basedOn w:val="HeadingBase"/>
    <w:next w:val="BodyText"/>
    <w:link w:val="Heading4Char"/>
    <w:qFormat/>
    <w:rsid w:val="00823EBC"/>
    <w:pPr>
      <w:spacing w:before="160" w:after="120"/>
      <w:outlineLvl w:val="3"/>
    </w:pPr>
    <w:rPr>
      <w:sz w:val="22"/>
    </w:rPr>
  </w:style>
  <w:style w:type="paragraph" w:styleId="Heading5">
    <w:name w:val="heading 5"/>
    <w:basedOn w:val="HeadingBase"/>
    <w:next w:val="Normal"/>
    <w:link w:val="Heading5Char"/>
    <w:qFormat/>
    <w:rsid w:val="00823EBC"/>
    <w:pPr>
      <w:spacing w:before="80"/>
      <w:outlineLvl w:val="4"/>
    </w:pPr>
    <w:rPr>
      <w:color w:val="918585"/>
      <w:sz w:val="20"/>
    </w:rPr>
  </w:style>
  <w:style w:type="paragraph" w:styleId="Heading6">
    <w:name w:val="heading 6"/>
    <w:basedOn w:val="HeadingBase"/>
    <w:next w:val="Normal"/>
    <w:link w:val="Heading6Char"/>
    <w:qFormat/>
    <w:rsid w:val="00823EBC"/>
    <w:pPr>
      <w:spacing w:before="60"/>
      <w:outlineLvl w:val="5"/>
    </w:pPr>
    <w:rPr>
      <w:color w:val="918585"/>
      <w:sz w:val="20"/>
    </w:rPr>
  </w:style>
  <w:style w:type="paragraph" w:styleId="Heading7">
    <w:name w:val="heading 7"/>
    <w:basedOn w:val="Normal"/>
    <w:next w:val="Normal"/>
    <w:link w:val="Heading7Char"/>
    <w:qFormat/>
    <w:rsid w:val="00823EBC"/>
    <w:pPr>
      <w:ind w:left="720"/>
      <w:outlineLvl w:val="6"/>
    </w:pPr>
    <w:rPr>
      <w:i/>
    </w:rPr>
  </w:style>
  <w:style w:type="paragraph" w:styleId="Heading8">
    <w:name w:val="heading 8"/>
    <w:basedOn w:val="Normal"/>
    <w:next w:val="Normal"/>
    <w:link w:val="Heading8Char"/>
    <w:qFormat/>
    <w:rsid w:val="00823EBC"/>
    <w:pPr>
      <w:ind w:left="720"/>
      <w:outlineLvl w:val="7"/>
    </w:pPr>
    <w:rPr>
      <w:i/>
    </w:rPr>
  </w:style>
  <w:style w:type="paragraph" w:styleId="Heading9">
    <w:name w:val="heading 9"/>
    <w:basedOn w:val="Normal"/>
    <w:next w:val="Normal"/>
    <w:link w:val="Heading9Char"/>
    <w:qFormat/>
    <w:rsid w:val="00823EBC"/>
    <w:pPr>
      <w:ind w:left="720"/>
      <w:outlineLvl w:val="8"/>
    </w:pPr>
    <w:rPr>
      <w:i/>
    </w:rPr>
  </w:style>
  <w:style w:type="character" w:default="1" w:styleId="DefaultParagraphFont">
    <w:name w:val="Default Paragraph Font"/>
    <w:uiPriority w:val="1"/>
    <w:unhideWhenUsed/>
    <w:rsid w:val="00823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EBC"/>
  </w:style>
  <w:style w:type="character" w:customStyle="1" w:styleId="Heading1Char">
    <w:name w:val="Heading 1 Char"/>
    <w:basedOn w:val="DefaultParagraphFont"/>
    <w:link w:val="Heading1"/>
    <w:rsid w:val="00823EBC"/>
    <w:rPr>
      <w:rFonts w:ascii="Times New Roman" w:eastAsia="Times New Roman" w:hAnsi="Times New Roman" w:cs="Times New Roman"/>
      <w:b/>
      <w:sz w:val="32"/>
      <w:szCs w:val="20"/>
      <w:lang w:eastAsia="en-US"/>
    </w:rPr>
  </w:style>
  <w:style w:type="paragraph" w:styleId="BodyText">
    <w:name w:val="Body Text"/>
    <w:basedOn w:val="Normal"/>
    <w:link w:val="BodyTextChar"/>
    <w:rsid w:val="00823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EBC"/>
    <w:rPr>
      <w:rFonts w:ascii="Times New Roman" w:eastAsia="Times New Roman" w:hAnsi="Times New Roman" w:cs="Times New Roman"/>
      <w:sz w:val="24"/>
      <w:lang w:eastAsia="en-US"/>
    </w:rPr>
  </w:style>
  <w:style w:type="paragraph" w:styleId="ListBullet">
    <w:name w:val="List Bullet"/>
    <w:basedOn w:val="List"/>
    <w:rsid w:val="00823EBC"/>
    <w:pPr>
      <w:numPr>
        <w:numId w:val="13"/>
      </w:numPr>
      <w:tabs>
        <w:tab w:val="clear" w:pos="340"/>
      </w:tabs>
      <w:spacing w:before="40" w:after="40"/>
    </w:pPr>
  </w:style>
  <w:style w:type="character" w:customStyle="1" w:styleId="SpecialBold">
    <w:name w:val="Special Bold"/>
    <w:basedOn w:val="DefaultParagraphFont"/>
    <w:rsid w:val="00823EBC"/>
    <w:rPr>
      <w:b/>
      <w:spacing w:val="0"/>
    </w:rPr>
  </w:style>
  <w:style w:type="paragraph" w:styleId="ListBullet2">
    <w:name w:val="List Bullet 2"/>
    <w:basedOn w:val="List2"/>
    <w:rsid w:val="00823EBC"/>
    <w:pPr>
      <w:numPr>
        <w:numId w:val="14"/>
      </w:numPr>
      <w:tabs>
        <w:tab w:val="clear" w:pos="680"/>
      </w:tabs>
    </w:pPr>
  </w:style>
  <w:style w:type="character" w:styleId="Emphasis">
    <w:name w:val="Emphasis"/>
    <w:basedOn w:val="DefaultParagraphFont"/>
    <w:qFormat/>
    <w:rsid w:val="00823EBC"/>
    <w:rPr>
      <w:i/>
    </w:rPr>
  </w:style>
  <w:style w:type="paragraph" w:customStyle="1" w:styleId="SuperHeading">
    <w:name w:val="SuperHeading"/>
    <w:basedOn w:val="Normal"/>
    <w:rsid w:val="00823EBC"/>
    <w:pPr>
      <w:spacing w:before="240" w:after="120"/>
      <w:outlineLvl w:val="0"/>
    </w:pPr>
    <w:rPr>
      <w:rFonts w:ascii="Times New Roman" w:hAnsi="Times New Roman"/>
      <w:b/>
      <w:sz w:val="32"/>
    </w:rPr>
  </w:style>
  <w:style w:type="paragraph" w:customStyle="1" w:styleId="AllowPageBreak">
    <w:name w:val="AllowPageBreak"/>
    <w:rsid w:val="00823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3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EBC"/>
    <w:rPr>
      <w:rFonts w:ascii="Courier New" w:eastAsia="Times New Roman" w:hAnsi="Courier New" w:cs="Times New Roman"/>
      <w:i/>
      <w:szCs w:val="20"/>
      <w:lang w:eastAsia="en-US"/>
    </w:rPr>
  </w:style>
  <w:style w:type="paragraph" w:customStyle="1" w:styleId="HeadingBase">
    <w:name w:val="Heading Base"/>
    <w:rsid w:val="00823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EBC"/>
    <w:pPr>
      <w:tabs>
        <w:tab w:val="right" w:leader="dot" w:pos="9072"/>
      </w:tabs>
      <w:ind w:left="567"/>
    </w:pPr>
    <w:rPr>
      <w:szCs w:val="22"/>
    </w:rPr>
  </w:style>
  <w:style w:type="paragraph" w:customStyle="1" w:styleId="TOCBase">
    <w:name w:val="TOC Base"/>
    <w:rsid w:val="00823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EBC"/>
    <w:pPr>
      <w:tabs>
        <w:tab w:val="right" w:leader="dot" w:pos="9072"/>
      </w:tabs>
      <w:spacing w:before="40" w:after="40"/>
      <w:ind w:left="284"/>
    </w:pPr>
    <w:rPr>
      <w:rFonts w:ascii="Times New Roman" w:hAnsi="Times New Roman"/>
    </w:rPr>
  </w:style>
  <w:style w:type="paragraph" w:styleId="TOC1">
    <w:name w:val="toc 1"/>
    <w:basedOn w:val="TOCBase"/>
    <w:next w:val="Normal"/>
    <w:rsid w:val="00823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EBC"/>
    <w:rPr>
      <w:rFonts w:ascii="Times New Roman" w:eastAsia="Times New Roman" w:hAnsi="Times New Roman" w:cs="Times New Roman"/>
      <w:sz w:val="16"/>
      <w:lang w:eastAsia="en-US"/>
    </w:rPr>
  </w:style>
  <w:style w:type="paragraph" w:styleId="Title">
    <w:name w:val="Title"/>
    <w:basedOn w:val="HeadingBase"/>
    <w:link w:val="TitleChar"/>
    <w:qFormat/>
    <w:rsid w:val="00823EBC"/>
    <w:pPr>
      <w:spacing w:before="5040"/>
      <w:jc w:val="center"/>
    </w:pPr>
    <w:rPr>
      <w:sz w:val="48"/>
      <w:szCs w:val="72"/>
      <w:lang w:val="en-US"/>
    </w:rPr>
  </w:style>
  <w:style w:type="character" w:customStyle="1" w:styleId="TitleChar">
    <w:name w:val="Title Char"/>
    <w:basedOn w:val="DefaultParagraphFont"/>
    <w:link w:val="Title"/>
    <w:rsid w:val="00823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EBC"/>
    <w:pPr>
      <w:tabs>
        <w:tab w:val="left" w:pos="3600"/>
        <w:tab w:val="left" w:pos="3958"/>
      </w:tabs>
    </w:pPr>
  </w:style>
  <w:style w:type="paragraph" w:styleId="List">
    <w:name w:val="List"/>
    <w:basedOn w:val="BodyText"/>
    <w:next w:val="BodyText"/>
    <w:rsid w:val="00823EBC"/>
    <w:pPr>
      <w:tabs>
        <w:tab w:val="left" w:pos="340"/>
      </w:tabs>
      <w:spacing w:before="60" w:after="60"/>
      <w:ind w:left="340" w:hanging="340"/>
    </w:pPr>
  </w:style>
  <w:style w:type="paragraph" w:customStyle="1" w:styleId="Note">
    <w:name w:val="Note"/>
    <w:basedOn w:val="BodyText"/>
    <w:rsid w:val="00823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EBC"/>
    <w:pPr>
      <w:framePr w:wrap="auto" w:hAnchor="text" w:y="6049"/>
    </w:pPr>
    <w:rPr>
      <w:color w:val="000000"/>
      <w:sz w:val="40"/>
    </w:rPr>
  </w:style>
  <w:style w:type="paragraph" w:customStyle="1" w:styleId="TOCTitle">
    <w:name w:val="TOCTitle"/>
    <w:basedOn w:val="Heading1"/>
    <w:rsid w:val="00823EBC"/>
    <w:pPr>
      <w:spacing w:after="240"/>
      <w:jc w:val="center"/>
      <w:outlineLvl w:val="9"/>
    </w:pPr>
    <w:rPr>
      <w:caps/>
    </w:rPr>
  </w:style>
  <w:style w:type="paragraph" w:customStyle="1" w:styleId="Version">
    <w:name w:val="Version"/>
    <w:rsid w:val="00823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EBC"/>
    <w:pPr>
      <w:keepNext w:val="0"/>
      <w:tabs>
        <w:tab w:val="right" w:pos="4176"/>
      </w:tabs>
      <w:ind w:left="198" w:hanging="198"/>
    </w:pPr>
    <w:rPr>
      <w:rFonts w:ascii="Garamond" w:hAnsi="Garamond"/>
    </w:rPr>
  </w:style>
  <w:style w:type="paragraph" w:styleId="IndexHeading">
    <w:name w:val="index heading"/>
    <w:basedOn w:val="Normal"/>
    <w:next w:val="Index1"/>
    <w:semiHidden/>
    <w:rsid w:val="00823EBC"/>
    <w:pPr>
      <w:spacing w:before="120" w:after="120"/>
    </w:pPr>
    <w:rPr>
      <w:rFonts w:ascii="Arial" w:hAnsi="Arial"/>
      <w:b/>
      <w:color w:val="918585"/>
      <w:sz w:val="24"/>
    </w:rPr>
  </w:style>
  <w:style w:type="paragraph" w:styleId="Header">
    <w:name w:val="header"/>
    <w:basedOn w:val="Normal"/>
    <w:link w:val="HeaderChar"/>
    <w:rsid w:val="00823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EBC"/>
    <w:rPr>
      <w:rFonts w:ascii="Times New Roman" w:eastAsia="Times New Roman" w:hAnsi="Times New Roman" w:cs="Times New Roman"/>
      <w:sz w:val="16"/>
      <w:szCs w:val="20"/>
      <w:lang w:val="en-GB" w:eastAsia="en-US"/>
    </w:rPr>
  </w:style>
  <w:style w:type="paragraph" w:customStyle="1" w:styleId="Chapter">
    <w:name w:val="Chapter"/>
    <w:basedOn w:val="Normal"/>
    <w:rsid w:val="00823EBC"/>
    <w:pPr>
      <w:spacing w:before="240"/>
    </w:pPr>
    <w:rPr>
      <w:rFonts w:ascii="Times New Roman" w:hAnsi="Times New Roman"/>
      <w:smallCaps/>
      <w:spacing w:val="80"/>
      <w:sz w:val="28"/>
    </w:rPr>
  </w:style>
  <w:style w:type="paragraph" w:customStyle="1" w:styleId="InChapter">
    <w:name w:val="InChapter"/>
    <w:basedOn w:val="Heading3"/>
    <w:rsid w:val="00823EBC"/>
    <w:pPr>
      <w:spacing w:after="240"/>
      <w:outlineLvl w:val="9"/>
    </w:pPr>
    <w:rPr>
      <w:noProof/>
    </w:rPr>
  </w:style>
  <w:style w:type="paragraph" w:styleId="Index2">
    <w:name w:val="index 2"/>
    <w:basedOn w:val="Normal"/>
    <w:next w:val="Normal"/>
    <w:semiHidden/>
    <w:rsid w:val="00823EBC"/>
    <w:pPr>
      <w:tabs>
        <w:tab w:val="right" w:pos="4176"/>
      </w:tabs>
      <w:ind w:left="568" w:hanging="284"/>
    </w:pPr>
    <w:rPr>
      <w:rFonts w:ascii="Garamond" w:hAnsi="Garamond"/>
    </w:rPr>
  </w:style>
  <w:style w:type="paragraph" w:customStyle="1" w:styleId="Byline">
    <w:name w:val="Byline"/>
    <w:rsid w:val="00823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EBC"/>
    <w:pPr>
      <w:tabs>
        <w:tab w:val="clear" w:pos="3600"/>
        <w:tab w:val="clear" w:pos="3958"/>
      </w:tabs>
      <w:jc w:val="right"/>
    </w:pPr>
  </w:style>
  <w:style w:type="paragraph" w:styleId="Caption">
    <w:name w:val="caption"/>
    <w:basedOn w:val="BodyText"/>
    <w:next w:val="Normal"/>
    <w:qFormat/>
    <w:rsid w:val="00823EBC"/>
    <w:pPr>
      <w:framePr w:w="2268" w:hSpace="181" w:vSpace="181" w:wrap="around" w:vAnchor="text" w:hAnchor="page" w:x="1135" w:y="285" w:anchorLock="1"/>
    </w:pPr>
    <w:rPr>
      <w:i/>
    </w:rPr>
  </w:style>
  <w:style w:type="paragraph" w:customStyle="1" w:styleId="MiniTOCTitle">
    <w:name w:val="MiniTOCTitle"/>
    <w:basedOn w:val="Heading4"/>
    <w:rsid w:val="00823EBC"/>
    <w:pPr>
      <w:spacing w:before="240"/>
      <w:outlineLvl w:val="9"/>
    </w:pPr>
    <w:rPr>
      <w:noProof/>
      <w:sz w:val="24"/>
    </w:rPr>
  </w:style>
  <w:style w:type="paragraph" w:customStyle="1" w:styleId="MiniTOCItem">
    <w:name w:val="MiniTOCItem"/>
    <w:basedOn w:val="ListBullet"/>
    <w:rsid w:val="00823EBC"/>
    <w:pPr>
      <w:numPr>
        <w:numId w:val="0"/>
      </w:numPr>
      <w:tabs>
        <w:tab w:val="right" w:leader="dot" w:pos="6521"/>
      </w:tabs>
      <w:spacing w:before="0" w:after="0"/>
    </w:pPr>
  </w:style>
  <w:style w:type="paragraph" w:customStyle="1" w:styleId="TOFTitle">
    <w:name w:val="TOFTitle"/>
    <w:basedOn w:val="TOCTitle"/>
    <w:rsid w:val="00823EBC"/>
  </w:style>
  <w:style w:type="paragraph" w:styleId="TableofFigures">
    <w:name w:val="table of figures"/>
    <w:basedOn w:val="Normal"/>
    <w:next w:val="Normal"/>
    <w:semiHidden/>
    <w:rsid w:val="00823EBC"/>
    <w:pPr>
      <w:tabs>
        <w:tab w:val="right" w:leader="dot" w:pos="9072"/>
      </w:tabs>
      <w:ind w:left="970" w:hanging="403"/>
    </w:pPr>
    <w:rPr>
      <w:rFonts w:ascii="Times New Roman" w:hAnsi="Times New Roman"/>
      <w:b/>
    </w:rPr>
  </w:style>
  <w:style w:type="paragraph" w:styleId="ListNumber">
    <w:name w:val="List Number"/>
    <w:basedOn w:val="List"/>
    <w:rsid w:val="00823EBC"/>
    <w:pPr>
      <w:numPr>
        <w:numId w:val="11"/>
      </w:numPr>
    </w:pPr>
  </w:style>
  <w:style w:type="character" w:customStyle="1" w:styleId="WingdingSymbols">
    <w:name w:val="Wingding Symbols"/>
    <w:rsid w:val="00823EBC"/>
    <w:rPr>
      <w:rFonts w:ascii="Wingdings" w:hAnsi="Wingdings"/>
    </w:rPr>
  </w:style>
  <w:style w:type="paragraph" w:customStyle="1" w:styleId="TableHeading">
    <w:name w:val="Table Heading"/>
    <w:basedOn w:val="HeadingBase"/>
    <w:rsid w:val="00823EBC"/>
    <w:pPr>
      <w:keepLines/>
      <w:pBdr>
        <w:bottom w:val="single" w:sz="6" w:space="1" w:color="918585"/>
      </w:pBdr>
      <w:spacing w:before="240"/>
    </w:pPr>
  </w:style>
  <w:style w:type="character" w:customStyle="1" w:styleId="HotSpot">
    <w:name w:val="HotSpot"/>
    <w:rsid w:val="00823EBC"/>
    <w:rPr>
      <w:color w:val="0033CC"/>
      <w:u w:val="none"/>
    </w:rPr>
  </w:style>
  <w:style w:type="paragraph" w:customStyle="1" w:styleId="BodyTextRight">
    <w:name w:val="Body Text Right"/>
    <w:basedOn w:val="BodyText"/>
    <w:rsid w:val="00823EBC"/>
    <w:pPr>
      <w:spacing w:before="0" w:after="0"/>
      <w:jc w:val="right"/>
    </w:pPr>
  </w:style>
  <w:style w:type="paragraph" w:styleId="Index3">
    <w:name w:val="index 3"/>
    <w:basedOn w:val="ListNumber2"/>
    <w:next w:val="Normal"/>
    <w:semiHidden/>
    <w:rsid w:val="00823EBC"/>
    <w:pPr>
      <w:numPr>
        <w:numId w:val="0"/>
      </w:numPr>
      <w:tabs>
        <w:tab w:val="right" w:leader="dot" w:pos="4176"/>
      </w:tabs>
    </w:pPr>
  </w:style>
  <w:style w:type="paragraph" w:styleId="ListNumber2">
    <w:name w:val="List Number 2"/>
    <w:basedOn w:val="List2"/>
    <w:rsid w:val="00823EBC"/>
    <w:pPr>
      <w:numPr>
        <w:numId w:val="10"/>
      </w:numPr>
      <w:tabs>
        <w:tab w:val="clear" w:pos="1060"/>
      </w:tabs>
    </w:pPr>
  </w:style>
  <w:style w:type="paragraph" w:customStyle="1" w:styleId="MarginNote">
    <w:name w:val="Margin Note"/>
    <w:basedOn w:val="BodyText"/>
    <w:rsid w:val="00823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EBC"/>
    <w:rPr>
      <w:sz w:val="32"/>
    </w:rPr>
  </w:style>
  <w:style w:type="paragraph" w:customStyle="1" w:styleId="HeadingProcedure">
    <w:name w:val="Heading Procedure"/>
    <w:basedOn w:val="HeadingBase"/>
    <w:next w:val="Normal"/>
    <w:rsid w:val="00823EBC"/>
    <w:pPr>
      <w:tabs>
        <w:tab w:val="left" w:pos="0"/>
      </w:tabs>
      <w:spacing w:before="120" w:after="60"/>
    </w:pPr>
    <w:rPr>
      <w:i/>
      <w:color w:val="918585"/>
      <w:sz w:val="22"/>
    </w:rPr>
  </w:style>
  <w:style w:type="paragraph" w:customStyle="1" w:styleId="TableBodyText">
    <w:name w:val="Table Body Text"/>
    <w:basedOn w:val="BodyText"/>
    <w:rsid w:val="00823EBC"/>
    <w:pPr>
      <w:spacing w:before="60" w:after="60"/>
    </w:pPr>
  </w:style>
  <w:style w:type="paragraph" w:styleId="ListContinue">
    <w:name w:val="List Continue"/>
    <w:basedOn w:val="List"/>
    <w:rsid w:val="00823EBC"/>
    <w:pPr>
      <w:ind w:firstLine="0"/>
    </w:pPr>
  </w:style>
  <w:style w:type="paragraph" w:customStyle="1" w:styleId="ListNote">
    <w:name w:val="List Note"/>
    <w:basedOn w:val="List"/>
    <w:rsid w:val="00823EBC"/>
    <w:pPr>
      <w:pBdr>
        <w:top w:val="single" w:sz="6" w:space="2" w:color="918585"/>
        <w:bottom w:val="single" w:sz="6" w:space="2" w:color="918585"/>
      </w:pBdr>
      <w:tabs>
        <w:tab w:val="left" w:pos="1021"/>
      </w:tabs>
      <w:ind w:firstLine="0"/>
    </w:pPr>
  </w:style>
  <w:style w:type="paragraph" w:customStyle="1" w:styleId="Warning">
    <w:name w:val="Warning"/>
    <w:basedOn w:val="BodyText"/>
    <w:rsid w:val="00823EBC"/>
    <w:pPr>
      <w:shd w:val="clear" w:color="auto" w:fill="D9D9D9"/>
      <w:tabs>
        <w:tab w:val="left" w:pos="992"/>
      </w:tabs>
      <w:ind w:left="119" w:right="119"/>
    </w:pPr>
    <w:rPr>
      <w:sz w:val="20"/>
    </w:rPr>
  </w:style>
  <w:style w:type="paragraph" w:customStyle="1" w:styleId="MarginIcons">
    <w:name w:val="Margin Icons"/>
    <w:basedOn w:val="BodyText"/>
    <w:rsid w:val="00823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EBC"/>
    <w:rPr>
      <w:rFonts w:ascii="Courier New" w:hAnsi="Courier New"/>
    </w:rPr>
  </w:style>
  <w:style w:type="paragraph" w:customStyle="1" w:styleId="NoteBullet">
    <w:name w:val="Note Bullet"/>
    <w:basedOn w:val="Note"/>
    <w:rsid w:val="00823EBC"/>
    <w:pPr>
      <w:tabs>
        <w:tab w:val="clear" w:pos="680"/>
      </w:tabs>
      <w:spacing w:before="60" w:after="60"/>
    </w:pPr>
  </w:style>
  <w:style w:type="paragraph" w:customStyle="1" w:styleId="SubHeading2">
    <w:name w:val="SubHeading2"/>
    <w:basedOn w:val="HeadingBase"/>
    <w:rsid w:val="00823EBC"/>
    <w:pPr>
      <w:spacing w:before="240" w:after="60"/>
    </w:pPr>
    <w:rPr>
      <w:sz w:val="20"/>
    </w:rPr>
  </w:style>
  <w:style w:type="paragraph" w:customStyle="1" w:styleId="SubHeading1">
    <w:name w:val="SubHeading1"/>
    <w:basedOn w:val="HeadingBase"/>
    <w:rsid w:val="00823EBC"/>
    <w:pPr>
      <w:spacing w:before="240" w:after="60"/>
    </w:pPr>
    <w:rPr>
      <w:color w:val="918585"/>
      <w:sz w:val="22"/>
    </w:rPr>
  </w:style>
  <w:style w:type="paragraph" w:customStyle="1" w:styleId="SideHeading">
    <w:name w:val="Side Heading"/>
    <w:basedOn w:val="HeadingBase"/>
    <w:rsid w:val="00823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EBC"/>
    <w:pPr>
      <w:numPr>
        <w:numId w:val="12"/>
      </w:numPr>
    </w:pPr>
  </w:style>
  <w:style w:type="paragraph" w:styleId="PlainText">
    <w:name w:val="Plain Text"/>
    <w:basedOn w:val="Normal"/>
    <w:link w:val="PlainTextChar"/>
    <w:rsid w:val="00823EBC"/>
    <w:rPr>
      <w:sz w:val="20"/>
    </w:rPr>
  </w:style>
  <w:style w:type="character" w:customStyle="1" w:styleId="PlainTextChar">
    <w:name w:val="Plain Text Char"/>
    <w:basedOn w:val="DefaultParagraphFont"/>
    <w:link w:val="PlainText"/>
    <w:rsid w:val="00823EBC"/>
    <w:rPr>
      <w:rFonts w:ascii="Courier New" w:eastAsia="Times New Roman" w:hAnsi="Courier New" w:cs="Times New Roman"/>
      <w:sz w:val="20"/>
      <w:szCs w:val="20"/>
      <w:lang w:eastAsia="en-US"/>
    </w:rPr>
  </w:style>
  <w:style w:type="character" w:customStyle="1" w:styleId="MenuOption">
    <w:name w:val="Menu Option"/>
    <w:basedOn w:val="DefaultParagraphFont"/>
    <w:rsid w:val="00823EBC"/>
    <w:rPr>
      <w:b/>
      <w:smallCaps/>
    </w:rPr>
  </w:style>
  <w:style w:type="paragraph" w:customStyle="1" w:styleId="TableListNumber">
    <w:name w:val="Table List Number"/>
    <w:basedOn w:val="ListNumber"/>
    <w:rsid w:val="00823EBC"/>
    <w:pPr>
      <w:numPr>
        <w:numId w:val="0"/>
      </w:numPr>
    </w:pPr>
  </w:style>
  <w:style w:type="paragraph" w:styleId="TOC4">
    <w:name w:val="toc 4"/>
    <w:basedOn w:val="TOCBase"/>
    <w:next w:val="Normal"/>
    <w:semiHidden/>
    <w:rsid w:val="00823EBC"/>
    <w:pPr>
      <w:tabs>
        <w:tab w:val="right" w:leader="dot" w:pos="9071"/>
      </w:tabs>
      <w:ind w:left="1701"/>
    </w:pPr>
  </w:style>
  <w:style w:type="paragraph" w:customStyle="1" w:styleId="ListAlpha">
    <w:name w:val="List Alpha"/>
    <w:basedOn w:val="List"/>
    <w:rsid w:val="00823EBC"/>
    <w:pPr>
      <w:numPr>
        <w:numId w:val="9"/>
      </w:numPr>
    </w:pPr>
  </w:style>
  <w:style w:type="paragraph" w:customStyle="1" w:styleId="ListAlpha2">
    <w:name w:val="List Alpha 2"/>
    <w:basedOn w:val="List2"/>
    <w:rsid w:val="00823EBC"/>
    <w:pPr>
      <w:numPr>
        <w:numId w:val="8"/>
      </w:numPr>
    </w:pPr>
  </w:style>
  <w:style w:type="paragraph" w:styleId="List2">
    <w:name w:val="List 2"/>
    <w:basedOn w:val="BodyText"/>
    <w:rsid w:val="00823EBC"/>
    <w:pPr>
      <w:tabs>
        <w:tab w:val="left" w:pos="680"/>
      </w:tabs>
      <w:spacing w:before="60" w:after="60"/>
      <w:ind w:left="680" w:hanging="340"/>
    </w:pPr>
  </w:style>
  <w:style w:type="paragraph" w:styleId="List3">
    <w:name w:val="List 3"/>
    <w:basedOn w:val="BodyText"/>
    <w:rsid w:val="00823EBC"/>
    <w:pPr>
      <w:tabs>
        <w:tab w:val="left" w:pos="1021"/>
      </w:tabs>
      <w:spacing w:before="60" w:after="60"/>
      <w:ind w:left="1020" w:hanging="340"/>
    </w:pPr>
  </w:style>
  <w:style w:type="paragraph" w:styleId="List4">
    <w:name w:val="List 4"/>
    <w:basedOn w:val="BodyText"/>
    <w:rsid w:val="00823EBC"/>
    <w:pPr>
      <w:tabs>
        <w:tab w:val="left" w:pos="1361"/>
      </w:tabs>
      <w:spacing w:before="60" w:after="60"/>
      <w:ind w:left="1361" w:hanging="340"/>
    </w:pPr>
  </w:style>
  <w:style w:type="paragraph" w:styleId="List5">
    <w:name w:val="List 5"/>
    <w:basedOn w:val="BodyText"/>
    <w:rsid w:val="00823EBC"/>
    <w:pPr>
      <w:tabs>
        <w:tab w:val="left" w:pos="1701"/>
      </w:tabs>
      <w:spacing w:before="60" w:after="60"/>
      <w:ind w:left="1701" w:hanging="340"/>
    </w:pPr>
  </w:style>
  <w:style w:type="paragraph" w:styleId="ListBullet3">
    <w:name w:val="List Bullet 3"/>
    <w:basedOn w:val="List3"/>
    <w:rsid w:val="00823EBC"/>
    <w:pPr>
      <w:numPr>
        <w:numId w:val="15"/>
      </w:numPr>
      <w:tabs>
        <w:tab w:val="clear" w:pos="1021"/>
      </w:tabs>
      <w:ind w:left="1037" w:hanging="357"/>
    </w:pPr>
  </w:style>
  <w:style w:type="paragraph" w:styleId="ListBullet4">
    <w:name w:val="List Bullet 4"/>
    <w:basedOn w:val="List4"/>
    <w:rsid w:val="00823EBC"/>
    <w:pPr>
      <w:numPr>
        <w:numId w:val="3"/>
      </w:numPr>
      <w:tabs>
        <w:tab w:val="clear" w:pos="1361"/>
      </w:tabs>
    </w:pPr>
  </w:style>
  <w:style w:type="paragraph" w:styleId="ListBullet5">
    <w:name w:val="List Bullet 5"/>
    <w:basedOn w:val="List5"/>
    <w:rsid w:val="00823EBC"/>
    <w:pPr>
      <w:numPr>
        <w:numId w:val="4"/>
      </w:numPr>
    </w:pPr>
  </w:style>
  <w:style w:type="paragraph" w:styleId="ListContinue2">
    <w:name w:val="List Continue 2"/>
    <w:basedOn w:val="List2"/>
    <w:rsid w:val="00823EBC"/>
    <w:pPr>
      <w:ind w:firstLine="0"/>
    </w:pPr>
  </w:style>
  <w:style w:type="paragraph" w:styleId="ListContinue3">
    <w:name w:val="List Continue 3"/>
    <w:basedOn w:val="List3"/>
    <w:rsid w:val="00823EBC"/>
    <w:pPr>
      <w:ind w:left="1021" w:firstLine="0"/>
    </w:pPr>
  </w:style>
  <w:style w:type="paragraph" w:styleId="ListContinue4">
    <w:name w:val="List Continue 4"/>
    <w:basedOn w:val="List4"/>
    <w:rsid w:val="00823EBC"/>
    <w:pPr>
      <w:ind w:firstLine="0"/>
    </w:pPr>
  </w:style>
  <w:style w:type="paragraph" w:styleId="ListContinue5">
    <w:name w:val="List Continue 5"/>
    <w:basedOn w:val="List5"/>
    <w:rsid w:val="00823EBC"/>
    <w:pPr>
      <w:ind w:firstLine="0"/>
    </w:pPr>
  </w:style>
  <w:style w:type="paragraph" w:styleId="ListNumber3">
    <w:name w:val="List Number 3"/>
    <w:basedOn w:val="List3"/>
    <w:rsid w:val="00823EBC"/>
    <w:pPr>
      <w:numPr>
        <w:numId w:val="5"/>
      </w:numPr>
    </w:pPr>
  </w:style>
  <w:style w:type="paragraph" w:styleId="ListNumber4">
    <w:name w:val="List Number 4"/>
    <w:basedOn w:val="List4"/>
    <w:rsid w:val="00823EBC"/>
    <w:pPr>
      <w:numPr>
        <w:numId w:val="6"/>
      </w:numPr>
    </w:pPr>
  </w:style>
  <w:style w:type="paragraph" w:styleId="ListNumber5">
    <w:name w:val="List Number 5"/>
    <w:basedOn w:val="List5"/>
    <w:rsid w:val="00823EBC"/>
    <w:pPr>
      <w:numPr>
        <w:numId w:val="7"/>
      </w:numPr>
    </w:pPr>
  </w:style>
  <w:style w:type="paragraph" w:styleId="BlockText">
    <w:name w:val="Block Text"/>
    <w:basedOn w:val="Normal"/>
    <w:rsid w:val="00823EBC"/>
    <w:pPr>
      <w:spacing w:after="120"/>
      <w:ind w:left="1440" w:right="1440"/>
    </w:pPr>
  </w:style>
  <w:style w:type="character" w:customStyle="1" w:styleId="Subscript">
    <w:name w:val="Subscript"/>
    <w:basedOn w:val="DefaultParagraphFont"/>
    <w:rsid w:val="00823EBC"/>
    <w:rPr>
      <w:sz w:val="16"/>
      <w:vertAlign w:val="subscript"/>
    </w:rPr>
  </w:style>
  <w:style w:type="character" w:customStyle="1" w:styleId="Superscript">
    <w:name w:val="Superscript"/>
    <w:basedOn w:val="DefaultParagraphFont"/>
    <w:rsid w:val="00823EBC"/>
    <w:rPr>
      <w:sz w:val="16"/>
      <w:vertAlign w:val="superscript"/>
    </w:rPr>
  </w:style>
  <w:style w:type="character" w:customStyle="1" w:styleId="Symbols">
    <w:name w:val="Symbols"/>
    <w:basedOn w:val="DefaultParagraphFont"/>
    <w:rsid w:val="00823EBC"/>
    <w:rPr>
      <w:rFonts w:ascii="Symbol" w:hAnsi="Symbol"/>
    </w:rPr>
  </w:style>
  <w:style w:type="character" w:customStyle="1" w:styleId="MenuOptions">
    <w:name w:val="Menu Options"/>
    <w:basedOn w:val="DefaultParagraphFont"/>
    <w:rsid w:val="00823EBC"/>
    <w:rPr>
      <w:rFonts w:ascii="Arial Narrow" w:hAnsi="Arial Narrow"/>
      <w:smallCaps/>
    </w:rPr>
  </w:style>
  <w:style w:type="character" w:customStyle="1" w:styleId="Buttons">
    <w:name w:val="Buttons"/>
    <w:basedOn w:val="DefaultParagraphFont"/>
    <w:rsid w:val="00823EBC"/>
    <w:rPr>
      <w:b/>
    </w:rPr>
  </w:style>
  <w:style w:type="character" w:customStyle="1" w:styleId="Underlined">
    <w:name w:val="Underlined"/>
    <w:basedOn w:val="DefaultParagraphFont"/>
    <w:rsid w:val="00823EBC"/>
    <w:rPr>
      <w:u w:val="single"/>
    </w:rPr>
  </w:style>
  <w:style w:type="paragraph" w:customStyle="1" w:styleId="TableBodyTextRight">
    <w:name w:val="Table Body Text Right"/>
    <w:basedOn w:val="TableBodyText"/>
    <w:rsid w:val="00823EBC"/>
    <w:pPr>
      <w:widowControl w:val="0"/>
      <w:autoSpaceDE w:val="0"/>
      <w:autoSpaceDN w:val="0"/>
      <w:adjustRightInd w:val="0"/>
      <w:jc w:val="right"/>
    </w:pPr>
    <w:rPr>
      <w:rFonts w:cs="Arial"/>
      <w:szCs w:val="18"/>
    </w:rPr>
  </w:style>
  <w:style w:type="paragraph" w:customStyle="1" w:styleId="CopyrightText">
    <w:name w:val="Copyright Text"/>
    <w:basedOn w:val="BodyText"/>
    <w:rsid w:val="00823EBC"/>
    <w:rPr>
      <w:sz w:val="18"/>
    </w:rPr>
  </w:style>
  <w:style w:type="paragraph" w:customStyle="1" w:styleId="BodySmallRight">
    <w:name w:val="Body Small Right"/>
    <w:basedOn w:val="BodyTextRight"/>
    <w:rsid w:val="00823EBC"/>
    <w:rPr>
      <w:sz w:val="18"/>
      <w:szCs w:val="18"/>
    </w:rPr>
  </w:style>
  <w:style w:type="paragraph" w:customStyle="1" w:styleId="MarginEdition">
    <w:name w:val="Margin Edition"/>
    <w:basedOn w:val="MarginNote"/>
    <w:rsid w:val="00823EBC"/>
    <w:pPr>
      <w:spacing w:before="0" w:after="0"/>
    </w:pPr>
    <w:rPr>
      <w:rFonts w:ascii="Times New Roman" w:hAnsi="Times New Roman"/>
      <w:color w:val="999999"/>
    </w:rPr>
  </w:style>
  <w:style w:type="paragraph" w:customStyle="1" w:styleId="Spacer">
    <w:name w:val="Spacer"/>
    <w:basedOn w:val="Normal"/>
    <w:rsid w:val="00823EBC"/>
    <w:rPr>
      <w:sz w:val="2"/>
      <w:szCs w:val="2"/>
    </w:rPr>
  </w:style>
  <w:style w:type="character" w:customStyle="1" w:styleId="Small">
    <w:name w:val="Small"/>
    <w:basedOn w:val="DefaultParagraphFont"/>
    <w:rsid w:val="00823EBC"/>
    <w:rPr>
      <w:sz w:val="16"/>
    </w:rPr>
  </w:style>
  <w:style w:type="paragraph" w:customStyle="1" w:styleId="WideTable">
    <w:name w:val="Wide Table"/>
    <w:basedOn w:val="Normal"/>
    <w:rsid w:val="00823EBC"/>
    <w:pPr>
      <w:ind w:left="-1418"/>
    </w:pPr>
    <w:rPr>
      <w:sz w:val="2"/>
      <w:szCs w:val="2"/>
    </w:rPr>
  </w:style>
  <w:style w:type="character" w:styleId="PageNumber">
    <w:name w:val="page number"/>
    <w:basedOn w:val="DefaultParagraphFont"/>
    <w:rsid w:val="00823EBC"/>
  </w:style>
  <w:style w:type="paragraph" w:styleId="Quote">
    <w:name w:val="Quote"/>
    <w:basedOn w:val="Heading1"/>
    <w:link w:val="QuoteChar"/>
    <w:qFormat/>
    <w:rsid w:val="00823EBC"/>
    <w:rPr>
      <w:b w:val="0"/>
      <w:sz w:val="72"/>
      <w:szCs w:val="72"/>
      <w:lang w:val="en-NZ"/>
    </w:rPr>
  </w:style>
  <w:style w:type="character" w:customStyle="1" w:styleId="QuoteChar">
    <w:name w:val="Quote Char"/>
    <w:basedOn w:val="DefaultParagraphFont"/>
    <w:link w:val="Quote"/>
    <w:rsid w:val="00823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EBC"/>
    <w:pPr>
      <w:pageBreakBefore/>
    </w:pPr>
  </w:style>
  <w:style w:type="paragraph" w:customStyle="1" w:styleId="Border">
    <w:name w:val="Border"/>
    <w:basedOn w:val="Normal"/>
    <w:qFormat/>
    <w:rsid w:val="00823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EBC"/>
    <w:rPr>
      <w:b/>
      <w:bCs/>
      <w:i/>
      <w:iCs/>
      <w:color w:val="auto"/>
    </w:rPr>
  </w:style>
  <w:style w:type="paragraph" w:styleId="IntenseQuote">
    <w:name w:val="Intense Quote"/>
    <w:basedOn w:val="Normal"/>
    <w:next w:val="Normal"/>
    <w:link w:val="IntenseQuoteChar"/>
    <w:uiPriority w:val="30"/>
    <w:qFormat/>
    <w:rsid w:val="00823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EBC"/>
    <w:rPr>
      <w:smallCaps/>
      <w:color w:val="auto"/>
      <w:u w:val="single"/>
    </w:rPr>
  </w:style>
  <w:style w:type="character" w:styleId="IntenseReference">
    <w:name w:val="Intense Reference"/>
    <w:basedOn w:val="DefaultParagraphFont"/>
    <w:uiPriority w:val="32"/>
    <w:qFormat/>
    <w:rsid w:val="00823EBC"/>
    <w:rPr>
      <w:b/>
      <w:bCs/>
      <w:smallCaps/>
      <w:color w:val="auto"/>
      <w:spacing w:val="5"/>
      <w:u w:val="single"/>
    </w:rPr>
  </w:style>
  <w:style w:type="paragraph" w:customStyle="1" w:styleId="2ColumnHeading">
    <w:name w:val="2Column Heading"/>
    <w:basedOn w:val="BodyText"/>
    <w:qFormat/>
    <w:rsid w:val="00823EBC"/>
    <w:pPr>
      <w:spacing w:after="60"/>
      <w:ind w:left="-2268"/>
    </w:pPr>
    <w:rPr>
      <w:b/>
    </w:rPr>
  </w:style>
  <w:style w:type="paragraph" w:customStyle="1" w:styleId="Heading1TOC">
    <w:name w:val="Heading1 TOC"/>
    <w:basedOn w:val="Normal"/>
    <w:qFormat/>
    <w:rsid w:val="00823EBC"/>
    <w:pPr>
      <w:spacing w:before="240" w:after="120"/>
    </w:pPr>
    <w:rPr>
      <w:rFonts w:ascii="Times New Roman" w:hAnsi="Times New Roman"/>
      <w:b/>
      <w:sz w:val="32"/>
    </w:rPr>
  </w:style>
  <w:style w:type="paragraph" w:customStyle="1" w:styleId="Heading2TOC">
    <w:name w:val="Heading2 TOC"/>
    <w:basedOn w:val="Normal"/>
    <w:qFormat/>
    <w:rsid w:val="00823EBC"/>
    <w:pPr>
      <w:spacing w:before="240" w:after="60"/>
    </w:pPr>
    <w:rPr>
      <w:rFonts w:ascii="Times New Roman" w:hAnsi="Times New Roman"/>
      <w:b/>
      <w:sz w:val="28"/>
    </w:rPr>
  </w:style>
  <w:style w:type="character" w:customStyle="1" w:styleId="Underline">
    <w:name w:val="Underline"/>
    <w:basedOn w:val="DefaultParagraphFont"/>
    <w:qFormat/>
    <w:rsid w:val="00823EBC"/>
    <w:rPr>
      <w:u w:val="single"/>
    </w:rPr>
  </w:style>
  <w:style w:type="character" w:customStyle="1" w:styleId="BoldandItalics">
    <w:name w:val="Bold and Italics"/>
    <w:qFormat/>
    <w:rsid w:val="00823EBC"/>
    <w:rPr>
      <w:b/>
      <w:i/>
      <w:u w:val="none"/>
    </w:rPr>
  </w:style>
  <w:style w:type="paragraph" w:styleId="BalloonText">
    <w:name w:val="Balloon Text"/>
    <w:basedOn w:val="Normal"/>
    <w:link w:val="BalloonTextChar"/>
    <w:rsid w:val="00823EBC"/>
    <w:rPr>
      <w:rFonts w:ascii="Tahoma" w:hAnsi="Tahoma" w:cs="Tahoma"/>
      <w:sz w:val="16"/>
      <w:szCs w:val="16"/>
    </w:rPr>
  </w:style>
  <w:style w:type="character" w:customStyle="1" w:styleId="BalloonTextChar">
    <w:name w:val="Balloon Text Char"/>
    <w:basedOn w:val="DefaultParagraphFont"/>
    <w:link w:val="BalloonText"/>
    <w:rsid w:val="00823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EBC"/>
    <w:rPr>
      <w:b/>
      <w:color w:val="660033"/>
      <w:spacing w:val="0"/>
    </w:rPr>
  </w:style>
  <w:style w:type="paragraph" w:customStyle="1" w:styleId="Nameditemlist">
    <w:name w:val="Named item list"/>
    <w:basedOn w:val="BodyText"/>
    <w:qFormat/>
    <w:rsid w:val="00823E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6746</Characters>
  <Application>Microsoft Office Word</Application>
  <DocSecurity>0</DocSecurity>
  <Lines>281</Lines>
  <Paragraphs>148</Paragraphs>
  <ScaleCrop>false</ScaleCrop>
  <Company>Author-it Software Corporation Ltd.</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MSFGG3018 Prepare and install architectural engineered glazing</dc:title>
  <dc:subject>Approved</dc:subject>
  <dc:creator>Manufacturing Skills Australia</dc:creator>
  <cp:keywords>Release: 2</cp:keywords>
  <dc:description>Review Date: 12 April 2008</dc:description>
  <cp:lastModifiedBy>TPCMS</cp:lastModifiedBy>
  <cp:revision>3</cp:revision>
  <dcterms:created xsi:type="dcterms:W3CDTF">2016-12-09T03:35:00Z</dcterms:created>
  <dcterms:modified xsi:type="dcterms:W3CDTF">2016-12-09T03:35:00Z</dcterms:modified>
</cp:coreProperties>
</file>