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377" w:rsidP="00775377">
      <w:pPr>
        <w:pStyle w:val="Title"/>
      </w:pPr>
      <w:r>
        <w:fldChar w:fldCharType="begin"/>
      </w:r>
      <w:r>
        <w:instrText xml:space="preserve"> TITLE   \* MERGEFORMAT </w:instrText>
      </w:r>
      <w:r>
        <w:fldChar w:fldCharType="separate"/>
      </w:r>
      <w:r>
        <w:t>MSFGG3014 Construct and repair leadlight panels</w:t>
      </w:r>
      <w:r>
        <w:fldChar w:fldCharType="end"/>
      </w:r>
    </w:p>
    <w:p w:rsidR="00775377" w:rsidP="00775377">
      <w:pPr>
        <w:pStyle w:val="Version"/>
        <w:sectPr w:rsidSect="00066C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C1E" w:rsidP="00066C1E">
      <w:pPr>
        <w:pStyle w:val="SuperHeading"/>
      </w:pPr>
      <w:r w:rsidRPr="00066C1E">
        <w:t>MSFGG3014 Construct and repair leadlight panels</w:t>
      </w:r>
    </w:p>
    <w:p w:rsidR="00000000" w:rsidRPr="00066C1E" w:rsidP="00066C1E">
      <w:pPr>
        <w:pStyle w:val="Heading1"/>
      </w:pPr>
      <w:bookmarkStart w:id="1" w:name="O_632866"/>
      <w:bookmarkEnd w:id="1"/>
      <w:r w:rsidRPr="00066C1E">
        <w:t>Modification History</w:t>
      </w:r>
    </w:p>
    <w:p w:rsidR="00000000" w:rsidRPr="00066C1E" w:rsidP="00066C1E">
      <w:pPr>
        <w:pStyle w:val="BodyText"/>
      </w:pPr>
      <w:r w:rsidRPr="00066C1E">
        <w:t>Release 1 - New unit of competency</w:t>
      </w:r>
    </w:p>
    <w:p w:rsidR="00000000" w:rsidRPr="00066C1E" w:rsidP="00066C1E">
      <w:pPr>
        <w:pStyle w:val="AllowPageBreak"/>
      </w:pPr>
    </w:p>
    <w:p w:rsidR="00000000" w:rsidRPr="00066C1E" w:rsidP="00066C1E">
      <w:pPr>
        <w:pStyle w:val="Heading1"/>
      </w:pPr>
      <w:bookmarkStart w:id="2" w:name="O_632874"/>
      <w:bookmarkEnd w:id="2"/>
      <w:r w:rsidRPr="00066C1E">
        <w:t>Application</w:t>
      </w:r>
    </w:p>
    <w:p w:rsidR="00000000" w:rsidRPr="00066C1E" w:rsidP="00066C1E">
      <w:pPr>
        <w:pStyle w:val="BodyText"/>
      </w:pPr>
      <w:r w:rsidRPr="00066C1E">
        <w:t>This unit of competency covers constructing and repairing leadlight panels and may involve restoration and conservation of historically important stained glass and leadlig</w:t>
      </w:r>
      <w:r w:rsidRPr="00066C1E">
        <w:t xml:space="preserve">hting works. It includes measuring, design and selection of materials and tools, and disassembly/assembly, weatherproofing and polishing of leadlight panels. </w:t>
      </w:r>
    </w:p>
    <w:p w:rsidR="00000000" w:rsidRPr="00066C1E" w:rsidP="00066C1E">
      <w:pPr>
        <w:pStyle w:val="BodyText"/>
      </w:pPr>
    </w:p>
    <w:p w:rsidR="00000000" w:rsidRPr="00066C1E" w:rsidP="00066C1E">
      <w:pPr>
        <w:pStyle w:val="BodyText"/>
      </w:pPr>
      <w:r w:rsidRPr="00066C1E">
        <w:t>No licensing, legislative or certification requirements apply to this unit at the time of public</w:t>
      </w:r>
      <w:r w:rsidRPr="00066C1E">
        <w:t>ation.</w:t>
      </w:r>
    </w:p>
    <w:p w:rsidR="00000000" w:rsidRPr="00066C1E" w:rsidP="00066C1E">
      <w:pPr>
        <w:pStyle w:val="AllowPageBreak"/>
      </w:pPr>
    </w:p>
    <w:p w:rsidR="00000000" w:rsidRPr="00066C1E" w:rsidP="00066C1E">
      <w:pPr>
        <w:pStyle w:val="Heading1"/>
      </w:pPr>
      <w:bookmarkStart w:id="3" w:name="O_632873"/>
      <w:bookmarkEnd w:id="3"/>
      <w:r w:rsidRPr="00066C1E">
        <w:t>Pre-requisite Unit</w:t>
      </w:r>
    </w:p>
    <w:p w:rsidR="00000000" w:rsidRPr="00066C1E" w:rsidP="00066C1E">
      <w:pPr>
        <w:pStyle w:val="Heading1"/>
      </w:pPr>
      <w:bookmarkStart w:id="4" w:name="O_632872"/>
      <w:bookmarkEnd w:id="4"/>
      <w:r w:rsidRPr="00066C1E">
        <w:t>Competency Field</w:t>
      </w:r>
    </w:p>
    <w:p w:rsidR="00000000" w:rsidRPr="00066C1E" w:rsidP="00066C1E">
      <w:pPr>
        <w:pStyle w:val="Heading1"/>
      </w:pPr>
      <w:bookmarkStart w:id="5" w:name="O_632871"/>
      <w:bookmarkEnd w:id="5"/>
      <w:r w:rsidRPr="00066C1E">
        <w:t>Unit Sector</w:t>
      </w:r>
    </w:p>
    <w:p w:rsidR="00000000" w:rsidRPr="00066C1E" w:rsidP="00066C1E">
      <w:pPr>
        <w:pStyle w:val="BodyText"/>
      </w:pPr>
      <w:r w:rsidRPr="00066C1E">
        <w:t>Glass and Glazing</w:t>
      </w:r>
    </w:p>
    <w:p w:rsidR="00000000" w:rsidRPr="00066C1E" w:rsidP="00066C1E">
      <w:pPr>
        <w:pStyle w:val="AllowPageBreak"/>
      </w:pPr>
    </w:p>
    <w:p w:rsidR="00000000" w:rsidRPr="00066C1E" w:rsidP="00066C1E">
      <w:pPr>
        <w:pStyle w:val="Heading1"/>
      </w:pPr>
      <w:bookmarkStart w:id="6" w:name="O_632870"/>
      <w:bookmarkEnd w:id="6"/>
      <w:r w:rsidRPr="00066C1E">
        <w:t>Elements and Performance Criteria</w:t>
      </w:r>
    </w:p>
    <w:tbl>
      <w:tblPr>
        <w:tblW w:w="9522" w:type="dxa"/>
        <w:tblLayout w:type="fixed"/>
        <w:tblCellMar>
          <w:left w:w="62" w:type="dxa"/>
          <w:right w:w="62" w:type="dxa"/>
        </w:tblCellMar>
        <w:tblLook w:val="0000"/>
      </w:tblPr>
      <w:tblGrid>
        <w:gridCol w:w="540"/>
        <w:gridCol w:w="2219"/>
        <w:gridCol w:w="751"/>
        <w:gridCol w:w="6012"/>
      </w:tblGrid>
      <w:tr w:rsidTr="00066C1E">
        <w:tblPrEx>
          <w:tblW w:w="9522"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Elements describe the essential outcomes.</w:t>
            </w:r>
          </w:p>
        </w:tc>
        <w:tc>
          <w:tcPr>
            <w:tcW w:w="6763" w:type="dxa"/>
            <w:gridSpan w:val="2"/>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Performance criteria describe the perfor</w:t>
            </w:r>
            <w:r w:rsidRPr="00066C1E">
              <w:t>mance needed to demonstrate achievement of the element.</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1</w:t>
            </w:r>
          </w:p>
        </w:tc>
        <w:tc>
          <w:tcPr>
            <w:tcW w:w="2219"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Identify work requirements</w:t>
            </w: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1.1</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Purpose of the leadlight panel is established, including performance requirements in terms of safety, quality and function</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1.2</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Research is conducted, where necessary, to establish if leadlight panels to be repaired are historically important</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1.3</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Construction method and materials to be used in the panel to be constructed or repaired are identified</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1.4</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Leadlight panel to be repaired is inspected to identify faults and any faults found compared with customer requirements and any previous identified faults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2</w:t>
            </w:r>
          </w:p>
        </w:tc>
        <w:tc>
          <w:tcPr>
            <w:tcW w:w="2219"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Plan leadlight panel construction/repair</w:t>
            </w: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2.1</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Plan or design of leadlight panel to be constructed/r</w:t>
            </w:r>
            <w:r w:rsidRPr="00066C1E">
              <w:t>epaired is analysed to identify work requirements, methods and/or specifications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2.2</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Work health and safety (WHS) requirements for construction and repair of leadlight panels, including personal protective equipment, are observed throughout the work</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2.3</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Work sequences are identified and a personal work plan is developed, when required, compliant with workplace procedures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2.4</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Steps or stages in construction/repair are planned, noting check points for (any) measurements and tests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2.5</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Approval of work construction plan is obtained as required by workplace procedures and a suitable work area identified</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3</w:t>
            </w:r>
          </w:p>
        </w:tc>
        <w:tc>
          <w:tcPr>
            <w:tcW w:w="2219"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Identify suitable materials and equipment</w:t>
            </w: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3.1</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Tools and equipment are selected and checked prior to use to ensure they are appropriate</w:t>
            </w:r>
            <w:r w:rsidRPr="00066C1E">
              <w:t xml:space="preserve"> for the work, serviceable and in a safe condition</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3.2</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Leadlight construction materials are selected according to specification of performance requirements, proposed use, cost and availability of materials, if required, matching the original texture, co</w:t>
            </w:r>
            <w:r w:rsidRPr="00066C1E">
              <w:t>lour, thickness and opacity of the stained glass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3.3</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Equipment suitable for working the chosen material is identified</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4</w:t>
            </w:r>
          </w:p>
        </w:tc>
        <w:tc>
          <w:tcPr>
            <w:tcW w:w="2219"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Construct/repair the leadlight panel</w:t>
            </w: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4.1</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Plan is followed to construct/repair the leadlight panel, including any special requirements for historically important works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4.2</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Checks are conducted at the identified points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4.3</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Modifications are identified and recommended within workplace procedur</w:t>
            </w:r>
            <w:r w:rsidRPr="00066C1E">
              <w:t>es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4.4</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Modifications to the plan are documented and appropriate approvals are sought in accordance with workplace procedures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5</w:t>
            </w:r>
          </w:p>
        </w:tc>
        <w:tc>
          <w:tcPr>
            <w:tcW w:w="2219"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Complete work</w:t>
            </w: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5.1</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Leadlight panel is inspected for quality of work and repaired or reconstructed, as required, in accordance with workplace procedures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5.2</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Material which can be re-used is collected and stored</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5.3</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Waste and scrap material are removed for disposal or re</w:t>
            </w:r>
            <w:r w:rsidRPr="00066C1E">
              <w:t>cycling, as required</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5.4</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Work area is cleaned and rubbish disposed of, as appropriate</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5.5</w:t>
            </w:r>
          </w:p>
        </w:tc>
        <w:tc>
          <w:tcPr>
            <w:tcW w:w="6012"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Equipment is cleaned and stored according to workplace requirements</w:t>
            </w:r>
          </w:p>
        </w:tc>
      </w:tr>
      <w:tr w:rsidTr="00066C1E">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5.6</w:t>
            </w:r>
          </w:p>
        </w:tc>
        <w:tc>
          <w:tcPr>
            <w:tcW w:w="6012" w:type="dxa"/>
            <w:tcBorders>
              <w:top w:val="nil"/>
              <w:left w:val="nil"/>
              <w:bottom w:val="nil"/>
              <w:right w:val="nil"/>
            </w:tcBorders>
            <w:tcMar>
              <w:top w:w="0" w:type="dxa"/>
              <w:left w:w="62" w:type="dxa"/>
              <w:bottom w:w="0" w:type="dxa"/>
              <w:right w:w="62" w:type="dxa"/>
            </w:tcMar>
          </w:tcPr>
          <w:p w:rsidR="00000000" w:rsidRPr="00066C1E" w:rsidP="00066C1E">
            <w:pPr>
              <w:pStyle w:val="BodyText"/>
            </w:pPr>
            <w:r w:rsidRPr="00066C1E">
              <w:t>Workplace documentation is completed in accordance with workplace procedures</w:t>
            </w:r>
          </w:p>
        </w:tc>
      </w:tr>
    </w:tbl>
    <w:p w:rsidR="00000000" w:rsidRPr="00066C1E" w:rsidP="00066C1E">
      <w:pPr>
        <w:pStyle w:val="BodyText"/>
      </w:pPr>
    </w:p>
    <w:p w:rsidR="00000000" w:rsidRPr="00066C1E" w:rsidP="00066C1E">
      <w:pPr>
        <w:pStyle w:val="AllowPageBreak"/>
      </w:pPr>
    </w:p>
    <w:p w:rsidR="00000000" w:rsidRPr="00066C1E" w:rsidP="00066C1E">
      <w:pPr>
        <w:pStyle w:val="Heading1"/>
      </w:pPr>
      <w:bookmarkStart w:id="7" w:name="O_632869"/>
      <w:bookmarkEnd w:id="7"/>
      <w:r w:rsidRPr="00066C1E">
        <w:t>Foundation Skills</w:t>
      </w:r>
    </w:p>
    <w:p w:rsidR="00000000" w:rsidRPr="00066C1E" w:rsidP="00066C1E">
      <w:pPr>
        <w:pStyle w:val="BodyText"/>
      </w:pPr>
      <w:r w:rsidRPr="00066C1E">
        <w:t>Foundation skills essential to performance are explicit in the performance criteria of this unit of competency. Detail on appropriate performance levels for each furnishing unit of competency in reading, writing, oral comm</w:t>
      </w:r>
      <w:r w:rsidRPr="00066C1E">
        <w:t>unication and numeracy utilising the Australian Core Skills Framework (ACSF) are provided in the Furnishing Training Package Implementation Guide.</w:t>
      </w:r>
    </w:p>
    <w:p w:rsidR="00000000" w:rsidRPr="00066C1E" w:rsidP="00066C1E">
      <w:pPr>
        <w:pStyle w:val="AllowPageBreak"/>
      </w:pPr>
    </w:p>
    <w:p w:rsidR="00000000" w:rsidRPr="00066C1E" w:rsidP="00066C1E">
      <w:pPr>
        <w:pStyle w:val="Heading1"/>
      </w:pPr>
      <w:bookmarkStart w:id="8" w:name="O_632868"/>
      <w:bookmarkEnd w:id="8"/>
      <w:r w:rsidRPr="00066C1E">
        <w:t>Range of Conditions</w:t>
      </w:r>
    </w:p>
    <w:tbl>
      <w:tblPr>
        <w:tblW w:w="0" w:type="auto"/>
        <w:tblLayout w:type="fixed"/>
        <w:tblCellMar>
          <w:left w:w="62" w:type="dxa"/>
          <w:right w:w="62" w:type="dxa"/>
        </w:tblCellMar>
        <w:tblLook w:val="0000"/>
      </w:tblPr>
      <w:tblGrid>
        <w:gridCol w:w="2760"/>
        <w:gridCol w:w="6312"/>
      </w:tblGrid>
      <w:tr w:rsidTr="00066C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t>Specifies different work environments and conditions that may affect per</w:t>
            </w:r>
            <w:r w:rsidRPr="00066C1E">
              <w:t xml:space="preserve">formance. Essential operating conditions that may be present (depending on the work situation, needs of the candidate, accessibility of the item, and local industry and regional contexts) are included. Range is restricted to essential operating conditions </w:t>
            </w:r>
            <w:r w:rsidRPr="00066C1E">
              <w:t>and any other variables essential to the work environment.</w:t>
            </w:r>
          </w:p>
        </w:tc>
      </w:tr>
      <w:tr w:rsidTr="00066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66C1E" w:rsidP="00066C1E">
            <w:pPr>
              <w:pStyle w:val="ListBullet"/>
            </w:pPr>
            <w:r w:rsidRPr="00066C1E">
              <w:t xml:space="preserve">WHS requirements, including legislation, building codes, material safety management </w:t>
            </w:r>
            <w:r w:rsidRPr="00066C1E">
              <w:t xml:space="preserve">systems, hazardous and dangerous goods codes, and local safe operating procedures or equivalent </w:t>
            </w:r>
          </w:p>
          <w:p w:rsidR="00000000" w:rsidRPr="00066C1E" w:rsidP="00066C1E">
            <w:pPr>
              <w:pStyle w:val="ListBullet"/>
            </w:pPr>
            <w:r w:rsidRPr="00066C1E">
              <w:t>work is carried out in accordance with legislative obligations, environmental legislation, relevant health regulations, manual handling procedures and organisa</w:t>
            </w:r>
            <w:r w:rsidRPr="00066C1E">
              <w:t>tion insurance requirements</w:t>
            </w:r>
          </w:p>
          <w:p w:rsidR="00000000" w:rsidP="00066C1E">
            <w:pPr>
              <w:pStyle w:val="ListBullet"/>
              <w:rPr>
                <w:lang w:val="en-NZ"/>
              </w:rPr>
            </w:pPr>
            <w:r w:rsidRPr="00066C1E">
              <w:t xml:space="preserve">work requires individuals to demonstrate some discretion, judgement and problem solving </w:t>
            </w:r>
          </w:p>
        </w:tc>
      </w:tr>
      <w:tr w:rsidTr="00066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rPr>
                <w:rStyle w:val="SpecialBold"/>
              </w:rPr>
              <w:t>Repair methods include:</w:t>
            </w:r>
          </w:p>
        </w:tc>
        <w:tc>
          <w:tcPr>
            <w:tcW w:w="6312" w:type="dxa"/>
            <w:tcBorders>
              <w:top w:val="nil"/>
              <w:left w:val="nil"/>
              <w:bottom w:val="nil"/>
              <w:right w:val="nil"/>
            </w:tcBorders>
            <w:tcMar>
              <w:top w:w="0" w:type="dxa"/>
              <w:left w:w="62" w:type="dxa"/>
              <w:bottom w:w="0" w:type="dxa"/>
              <w:right w:w="62" w:type="dxa"/>
            </w:tcMar>
          </w:tcPr>
          <w:p w:rsidR="00000000" w:rsidRPr="00066C1E" w:rsidP="00066C1E">
            <w:pPr>
              <w:pStyle w:val="ListBullet"/>
            </w:pPr>
            <w:r w:rsidRPr="00066C1E">
              <w:t>re-leading</w:t>
            </w:r>
          </w:p>
          <w:p w:rsidR="00000000" w:rsidRPr="00066C1E" w:rsidP="00066C1E">
            <w:pPr>
              <w:pStyle w:val="ListBullet"/>
            </w:pPr>
            <w:r w:rsidRPr="00066C1E">
              <w:t>strap repair and lead lifting</w:t>
            </w:r>
          </w:p>
          <w:p w:rsidR="00000000" w:rsidP="00066C1E">
            <w:pPr>
              <w:pStyle w:val="ListBullet"/>
              <w:rPr>
                <w:lang w:val="en-NZ"/>
              </w:rPr>
            </w:pPr>
            <w:r w:rsidRPr="00066C1E">
              <w:t>restoration and conservation of historically important stained glass and</w:t>
            </w:r>
            <w:r w:rsidRPr="00066C1E">
              <w:t xml:space="preserve"> leadlighting works</w:t>
            </w:r>
          </w:p>
        </w:tc>
      </w:tr>
      <w:tr w:rsidTr="00066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66C1E" w:rsidP="00066C1E">
            <w:pPr>
              <w:pStyle w:val="ListBullet"/>
            </w:pPr>
            <w:r w:rsidRPr="00066C1E">
              <w:t>timber benches</w:t>
            </w:r>
          </w:p>
          <w:p w:rsidR="00000000" w:rsidRPr="00066C1E" w:rsidP="00066C1E">
            <w:pPr>
              <w:pStyle w:val="ListBullet"/>
            </w:pPr>
            <w:r w:rsidRPr="00066C1E">
              <w:t>light boxes</w:t>
            </w:r>
          </w:p>
          <w:p w:rsidR="00000000" w:rsidRPr="00066C1E" w:rsidP="00066C1E">
            <w:pPr>
              <w:pStyle w:val="ListBullet"/>
            </w:pPr>
            <w:r w:rsidRPr="00066C1E">
              <w:t>glass grinders</w:t>
            </w:r>
          </w:p>
          <w:p w:rsidR="00000000" w:rsidRPr="00066C1E" w:rsidP="00066C1E">
            <w:pPr>
              <w:pStyle w:val="ListBullet"/>
            </w:pPr>
            <w:r w:rsidRPr="00066C1E">
              <w:t>lead knives</w:t>
            </w:r>
          </w:p>
          <w:p w:rsidR="00000000" w:rsidRPr="00066C1E" w:rsidP="00066C1E">
            <w:pPr>
              <w:pStyle w:val="ListBullet"/>
            </w:pPr>
            <w:r w:rsidRPr="00066C1E">
              <w:t>lead vice</w:t>
            </w:r>
          </w:p>
          <w:p w:rsidR="00000000" w:rsidRPr="00066C1E" w:rsidP="00066C1E">
            <w:pPr>
              <w:pStyle w:val="ListBullet"/>
            </w:pPr>
            <w:r w:rsidRPr="00066C1E">
              <w:t>lathekins</w:t>
            </w:r>
          </w:p>
          <w:p w:rsidR="00000000" w:rsidRPr="00066C1E" w:rsidP="00066C1E">
            <w:pPr>
              <w:pStyle w:val="ListBullet"/>
            </w:pPr>
            <w:r w:rsidRPr="00066C1E">
              <w:t>farrier's nails</w:t>
            </w:r>
          </w:p>
          <w:p w:rsidR="00000000" w:rsidRPr="00066C1E" w:rsidP="00066C1E">
            <w:pPr>
              <w:pStyle w:val="ListBullet"/>
            </w:pPr>
            <w:r w:rsidRPr="00066C1E">
              <w:t>glass cutters</w:t>
            </w:r>
          </w:p>
          <w:p w:rsidR="00000000" w:rsidRPr="00066C1E" w:rsidP="00066C1E">
            <w:pPr>
              <w:pStyle w:val="ListBullet"/>
            </w:pPr>
            <w:r w:rsidRPr="00066C1E">
              <w:t>grozing and small running pliers</w:t>
            </w:r>
          </w:p>
          <w:p w:rsidR="00000000" w:rsidRPr="00066C1E" w:rsidP="00066C1E">
            <w:pPr>
              <w:pStyle w:val="ListBullet"/>
            </w:pPr>
            <w:r w:rsidRPr="00066C1E">
              <w:t>soldering irons and bits</w:t>
            </w:r>
          </w:p>
          <w:p w:rsidR="00000000" w:rsidRPr="00066C1E" w:rsidP="00066C1E">
            <w:pPr>
              <w:pStyle w:val="ListBullet"/>
            </w:pPr>
            <w:r w:rsidRPr="00066C1E">
              <w:t>suede</w:t>
            </w:r>
          </w:p>
          <w:p w:rsidR="00000000" w:rsidP="00066C1E">
            <w:pPr>
              <w:pStyle w:val="ListBullet"/>
              <w:rPr>
                <w:lang w:val="en-NZ"/>
              </w:rPr>
            </w:pPr>
            <w:r w:rsidRPr="00066C1E">
              <w:t>cleaning and polishing brushers and pickers</w:t>
            </w:r>
          </w:p>
        </w:tc>
      </w:tr>
      <w:tr w:rsidTr="00066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rPr>
                <w:rStyle w:val="SpecialBold"/>
              </w:rPr>
              <w:t>Leadlight construction materials include:</w:t>
            </w:r>
          </w:p>
        </w:tc>
        <w:tc>
          <w:tcPr>
            <w:tcW w:w="6312" w:type="dxa"/>
            <w:tcBorders>
              <w:top w:val="nil"/>
              <w:left w:val="nil"/>
              <w:bottom w:val="nil"/>
              <w:right w:val="nil"/>
            </w:tcBorders>
            <w:tcMar>
              <w:top w:w="0" w:type="dxa"/>
              <w:left w:w="62" w:type="dxa"/>
              <w:bottom w:w="0" w:type="dxa"/>
              <w:right w:w="62" w:type="dxa"/>
            </w:tcMar>
          </w:tcPr>
          <w:p w:rsidR="00000000" w:rsidRPr="00066C1E" w:rsidP="00066C1E">
            <w:pPr>
              <w:pStyle w:val="ListBullet"/>
            </w:pPr>
            <w:r w:rsidRPr="00066C1E">
              <w:t>coloured/plain glass panels</w:t>
            </w:r>
          </w:p>
          <w:p w:rsidR="00000000" w:rsidRPr="00066C1E" w:rsidP="00066C1E">
            <w:pPr>
              <w:pStyle w:val="ListBullet"/>
            </w:pPr>
            <w:r w:rsidRPr="00066C1E">
              <w:t>patterns/templates</w:t>
            </w:r>
          </w:p>
          <w:p w:rsidR="00000000" w:rsidRPr="00066C1E" w:rsidP="00066C1E">
            <w:pPr>
              <w:pStyle w:val="ListBullet"/>
            </w:pPr>
            <w:r w:rsidRPr="00066C1E">
              <w:t>timber lathes</w:t>
            </w:r>
          </w:p>
          <w:p w:rsidR="00000000" w:rsidRPr="00066C1E" w:rsidP="00066C1E">
            <w:pPr>
              <w:pStyle w:val="ListBullet"/>
            </w:pPr>
            <w:r w:rsidRPr="00066C1E">
              <w:t>ornamental fittings</w:t>
            </w:r>
          </w:p>
          <w:p w:rsidR="00000000" w:rsidRPr="00066C1E" w:rsidP="00066C1E">
            <w:pPr>
              <w:pStyle w:val="ListBullet"/>
            </w:pPr>
            <w:r w:rsidRPr="00066C1E">
              <w:t>lead came</w:t>
            </w:r>
          </w:p>
          <w:p w:rsidR="00000000" w:rsidP="00066C1E">
            <w:pPr>
              <w:pStyle w:val="ListBullet"/>
              <w:rPr>
                <w:lang w:val="en-NZ"/>
              </w:rPr>
            </w:pPr>
            <w:r w:rsidRPr="00066C1E">
              <w:t>solder and fluxes</w:t>
            </w:r>
          </w:p>
        </w:tc>
      </w:tr>
      <w:tr w:rsidTr="00066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66C1E" w:rsidP="00066C1E">
            <w:pPr>
              <w:pStyle w:val="BodyText"/>
            </w:pPr>
            <w:r w:rsidRPr="00066C1E">
              <w:rPr>
                <w:rStyle w:val="SpecialBold"/>
              </w:rPr>
              <w:t>Personal protective equipment includes:</w:t>
            </w:r>
          </w:p>
          <w:p w:rsidR="00000000" w:rsidP="00066C1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66C1E" w:rsidP="00066C1E">
            <w:pPr>
              <w:pStyle w:val="ListBullet"/>
            </w:pPr>
            <w:r w:rsidRPr="00066C1E">
              <w:t>that prescribed under legislation, regulation and enterprise policies and practices:</w:t>
            </w:r>
          </w:p>
          <w:p w:rsidR="00000000" w:rsidRPr="00066C1E" w:rsidP="00066C1E">
            <w:pPr>
              <w:pStyle w:val="ListBullet2"/>
            </w:pPr>
            <w:r w:rsidRPr="00066C1E">
              <w:t>gauntlets</w:t>
            </w:r>
          </w:p>
          <w:p w:rsidR="00000000" w:rsidRPr="00066C1E" w:rsidP="00066C1E">
            <w:pPr>
              <w:pStyle w:val="ListBullet2"/>
            </w:pPr>
            <w:r w:rsidRPr="00066C1E">
              <w:t>gloves</w:t>
            </w:r>
          </w:p>
          <w:p w:rsidR="00000000" w:rsidRPr="00066C1E" w:rsidP="00066C1E">
            <w:pPr>
              <w:pStyle w:val="ListBullet2"/>
            </w:pPr>
            <w:r w:rsidRPr="00066C1E">
              <w:t>safety glasses</w:t>
            </w:r>
          </w:p>
          <w:p w:rsidR="00000000" w:rsidP="00066C1E">
            <w:pPr>
              <w:pStyle w:val="ListBullet2"/>
              <w:rPr>
                <w:lang w:val="en-NZ"/>
              </w:rPr>
            </w:pPr>
            <w:r w:rsidRPr="00066C1E">
              <w:t>safety footwear</w:t>
            </w:r>
          </w:p>
        </w:tc>
      </w:tr>
      <w:tr w:rsidTr="00066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6C1E">
            <w:pPr>
              <w:pStyle w:val="BodyText"/>
              <w:rPr>
                <w:lang w:val="en-NZ"/>
              </w:rPr>
            </w:pPr>
            <w:r w:rsidRPr="00066C1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66C1E" w:rsidP="00066C1E">
            <w:pPr>
              <w:pStyle w:val="ListBullet"/>
            </w:pPr>
            <w:r w:rsidRPr="00066C1E">
              <w:t>workplace procedures relati</w:t>
            </w:r>
            <w:r w:rsidRPr="00066C1E">
              <w:t xml:space="preserve">ng to the use of tools and equipment and personal protective equipment </w:t>
            </w:r>
          </w:p>
          <w:p w:rsidR="00000000" w:rsidRPr="00066C1E" w:rsidP="00066C1E">
            <w:pPr>
              <w:pStyle w:val="ListBullet"/>
            </w:pPr>
            <w:r w:rsidRPr="00066C1E">
              <w:t xml:space="preserve">work instructions, including job sheets, cutting lists, plans, drawings and designs </w:t>
            </w:r>
          </w:p>
          <w:p w:rsidR="00000000" w:rsidRPr="00066C1E" w:rsidP="00066C1E">
            <w:pPr>
              <w:pStyle w:val="ListBullet"/>
            </w:pPr>
            <w:r w:rsidRPr="00066C1E">
              <w:t xml:space="preserve">workplace procedures relating to reporting and communication </w:t>
            </w:r>
          </w:p>
          <w:p w:rsidR="00000000" w:rsidRPr="00066C1E" w:rsidP="00066C1E">
            <w:pPr>
              <w:pStyle w:val="ListBullet"/>
            </w:pPr>
            <w:r w:rsidRPr="00066C1E">
              <w:t xml:space="preserve">manufacturer specifications and operational procedures </w:t>
            </w:r>
          </w:p>
          <w:p w:rsidR="00000000" w:rsidRPr="00066C1E" w:rsidP="00066C1E">
            <w:pPr>
              <w:pStyle w:val="ListBullet"/>
            </w:pPr>
            <w:r w:rsidRPr="00066C1E">
              <w:t>quality and Australian Standards and procedures</w:t>
            </w:r>
          </w:p>
        </w:tc>
      </w:tr>
    </w:tbl>
    <w:p w:rsidR="00000000" w:rsidRPr="00066C1E" w:rsidP="00066C1E">
      <w:pPr>
        <w:pStyle w:val="BodyText"/>
      </w:pPr>
    </w:p>
    <w:p w:rsidR="00000000" w:rsidRPr="00066C1E" w:rsidP="00066C1E">
      <w:pPr>
        <w:pStyle w:val="AllowPageBreak"/>
      </w:pPr>
    </w:p>
    <w:p w:rsidR="00000000" w:rsidRPr="00066C1E" w:rsidP="00066C1E">
      <w:pPr>
        <w:pStyle w:val="Heading1"/>
      </w:pPr>
      <w:bookmarkStart w:id="9" w:name="O_632867"/>
      <w:bookmarkEnd w:id="9"/>
      <w:r w:rsidRPr="00066C1E">
        <w:t>Unit Mapping Information</w:t>
      </w:r>
    </w:p>
    <w:p w:rsidR="00000000" w:rsidRPr="00066C1E" w:rsidP="00066C1E">
      <w:pPr>
        <w:pStyle w:val="BodyText"/>
      </w:pPr>
      <w:r w:rsidRPr="00066C1E">
        <w:t>Supersedes and is equivalent to LMFGG3013C Construct and repair leadlight panels.</w:t>
      </w:r>
    </w:p>
    <w:p w:rsidR="00000000" w:rsidRPr="00066C1E" w:rsidP="00066C1E">
      <w:pPr>
        <w:pStyle w:val="AllowPageBreak"/>
      </w:pPr>
    </w:p>
    <w:p w:rsidR="00000000" w:rsidRPr="00066C1E" w:rsidP="00066C1E">
      <w:pPr>
        <w:pStyle w:val="Heading1"/>
      </w:pPr>
      <w:bookmarkStart w:id="10" w:name="O_632860"/>
      <w:bookmarkEnd w:id="10"/>
      <w:r w:rsidRPr="00066C1E">
        <w:t>Links</w:t>
      </w:r>
    </w:p>
    <w:p w:rsidR="00000000" w:rsidRPr="00066C1E" w:rsidP="00066C1E">
      <w:pPr>
        <w:pStyle w:val="BodyText"/>
      </w:pPr>
      <w:r w:rsidRPr="00066C1E">
        <w:t>Com</w:t>
      </w:r>
      <w:r w:rsidRPr="00066C1E">
        <w:t>panion Volume implementation guides are found in VETNet - https://vetnet.education.gov.au/Pages/TrainingDocs.aspx?q=0601ab95-583a-4e93-b2d4-cfb27b03ed73</w:t>
      </w:r>
    </w:p>
    <w:p w:rsidR="00000000" w:rsidRPr="00066C1E" w:rsidP="00066C1E"/>
    <w:sectPr w:rsidSect="00066C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1E" w:rsidRPr="00775377" w:rsidP="00775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77" w:rsidP="00066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75377" w:rsidP="00066C1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75377" w:rsidP="00066C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C1E" w:rsidRPr="00775377" w:rsidP="007753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77" w:rsidRPr="002D2AF8" w:rsidP="00066C1E">
    <w:pPr>
      <w:pStyle w:val="Header"/>
      <w:framePr w:wrap="around"/>
    </w:pPr>
    <w:r>
      <w:fldChar w:fldCharType="begin"/>
    </w:r>
    <w:r>
      <w:instrText xml:space="preserve"> TITLE   \* MERGEFORMAT </w:instrText>
    </w:r>
    <w:r>
      <w:fldChar w:fldCharType="separate"/>
    </w:r>
    <w:r>
      <w:t>MSFGG3014 Construct and repair leadlight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75377" w:rsidP="00066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07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85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E3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C1E"/>
    <w:pPr>
      <w:spacing w:before="360" w:after="60"/>
      <w:outlineLvl w:val="0"/>
    </w:pPr>
    <w:rPr>
      <w:sz w:val="32"/>
    </w:rPr>
  </w:style>
  <w:style w:type="paragraph" w:styleId="Heading2">
    <w:name w:val="heading 2"/>
    <w:basedOn w:val="HeadingBase"/>
    <w:next w:val="BodyText"/>
    <w:link w:val="Heading2Char"/>
    <w:qFormat/>
    <w:rsid w:val="00066C1E"/>
    <w:pPr>
      <w:keepLines/>
      <w:spacing w:before="240" w:after="120"/>
      <w:outlineLvl w:val="1"/>
    </w:pPr>
    <w:rPr>
      <w:sz w:val="28"/>
      <w:szCs w:val="40"/>
    </w:rPr>
  </w:style>
  <w:style w:type="paragraph" w:styleId="Heading3">
    <w:name w:val="heading 3"/>
    <w:basedOn w:val="HeadingBase"/>
    <w:next w:val="BodyText"/>
    <w:link w:val="Heading3Char"/>
    <w:qFormat/>
    <w:rsid w:val="00066C1E"/>
    <w:pPr>
      <w:spacing w:before="180" w:after="120"/>
      <w:outlineLvl w:val="2"/>
    </w:pPr>
    <w:rPr>
      <w:spacing w:val="-10"/>
      <w:kern w:val="32"/>
    </w:rPr>
  </w:style>
  <w:style w:type="paragraph" w:styleId="Heading4">
    <w:name w:val="heading 4"/>
    <w:basedOn w:val="HeadingBase"/>
    <w:next w:val="BodyText"/>
    <w:link w:val="Heading4Char"/>
    <w:qFormat/>
    <w:rsid w:val="00066C1E"/>
    <w:pPr>
      <w:spacing w:before="160" w:after="120"/>
      <w:outlineLvl w:val="3"/>
    </w:pPr>
    <w:rPr>
      <w:sz w:val="22"/>
    </w:rPr>
  </w:style>
  <w:style w:type="paragraph" w:styleId="Heading5">
    <w:name w:val="heading 5"/>
    <w:basedOn w:val="HeadingBase"/>
    <w:next w:val="Normal"/>
    <w:link w:val="Heading5Char"/>
    <w:qFormat/>
    <w:rsid w:val="00066C1E"/>
    <w:pPr>
      <w:spacing w:before="80"/>
      <w:outlineLvl w:val="4"/>
    </w:pPr>
    <w:rPr>
      <w:color w:val="918585"/>
      <w:sz w:val="20"/>
    </w:rPr>
  </w:style>
  <w:style w:type="paragraph" w:styleId="Heading6">
    <w:name w:val="heading 6"/>
    <w:basedOn w:val="HeadingBase"/>
    <w:next w:val="Normal"/>
    <w:link w:val="Heading6Char"/>
    <w:qFormat/>
    <w:rsid w:val="00066C1E"/>
    <w:pPr>
      <w:spacing w:before="60"/>
      <w:outlineLvl w:val="5"/>
    </w:pPr>
    <w:rPr>
      <w:color w:val="918585"/>
      <w:sz w:val="20"/>
    </w:rPr>
  </w:style>
  <w:style w:type="paragraph" w:styleId="Heading7">
    <w:name w:val="heading 7"/>
    <w:basedOn w:val="Normal"/>
    <w:next w:val="Normal"/>
    <w:link w:val="Heading7Char"/>
    <w:qFormat/>
    <w:rsid w:val="00066C1E"/>
    <w:pPr>
      <w:ind w:left="720"/>
      <w:outlineLvl w:val="6"/>
    </w:pPr>
    <w:rPr>
      <w:i/>
    </w:rPr>
  </w:style>
  <w:style w:type="paragraph" w:styleId="Heading8">
    <w:name w:val="heading 8"/>
    <w:basedOn w:val="Normal"/>
    <w:next w:val="Normal"/>
    <w:link w:val="Heading8Char"/>
    <w:qFormat/>
    <w:rsid w:val="00066C1E"/>
    <w:pPr>
      <w:ind w:left="720"/>
      <w:outlineLvl w:val="7"/>
    </w:pPr>
    <w:rPr>
      <w:i/>
    </w:rPr>
  </w:style>
  <w:style w:type="paragraph" w:styleId="Heading9">
    <w:name w:val="heading 9"/>
    <w:basedOn w:val="Normal"/>
    <w:next w:val="Normal"/>
    <w:link w:val="Heading9Char"/>
    <w:qFormat/>
    <w:rsid w:val="00066C1E"/>
    <w:pPr>
      <w:ind w:left="720"/>
      <w:outlineLvl w:val="8"/>
    </w:pPr>
    <w:rPr>
      <w:i/>
    </w:rPr>
  </w:style>
  <w:style w:type="character" w:default="1" w:styleId="DefaultParagraphFont">
    <w:name w:val="Default Paragraph Font"/>
    <w:uiPriority w:val="1"/>
    <w:unhideWhenUsed/>
    <w:rsid w:val="00066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C1E"/>
  </w:style>
  <w:style w:type="character" w:customStyle="1" w:styleId="Heading1Char">
    <w:name w:val="Heading 1 Char"/>
    <w:basedOn w:val="DefaultParagraphFont"/>
    <w:link w:val="Heading1"/>
    <w:rsid w:val="00066C1E"/>
    <w:rPr>
      <w:rFonts w:ascii="Times New Roman" w:eastAsia="Times New Roman" w:hAnsi="Times New Roman" w:cs="Times New Roman"/>
      <w:b/>
      <w:sz w:val="32"/>
      <w:szCs w:val="20"/>
      <w:lang w:eastAsia="en-US"/>
    </w:rPr>
  </w:style>
  <w:style w:type="paragraph" w:styleId="BodyText">
    <w:name w:val="Body Text"/>
    <w:basedOn w:val="Normal"/>
    <w:link w:val="BodyTextChar"/>
    <w:rsid w:val="00066C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6C1E"/>
    <w:rPr>
      <w:rFonts w:ascii="Times New Roman" w:eastAsia="Times New Roman" w:hAnsi="Times New Roman" w:cs="Times New Roman"/>
      <w:sz w:val="24"/>
      <w:lang w:eastAsia="en-US"/>
    </w:rPr>
  </w:style>
  <w:style w:type="paragraph" w:styleId="ListBullet">
    <w:name w:val="List Bullet"/>
    <w:basedOn w:val="List"/>
    <w:rsid w:val="00066C1E"/>
    <w:pPr>
      <w:numPr>
        <w:numId w:val="13"/>
      </w:numPr>
      <w:tabs>
        <w:tab w:val="clear" w:pos="340"/>
      </w:tabs>
      <w:spacing w:before="40" w:after="40"/>
    </w:pPr>
  </w:style>
  <w:style w:type="character" w:customStyle="1" w:styleId="SpecialBold">
    <w:name w:val="Special Bold"/>
    <w:basedOn w:val="DefaultParagraphFont"/>
    <w:rsid w:val="00066C1E"/>
    <w:rPr>
      <w:b/>
      <w:spacing w:val="0"/>
    </w:rPr>
  </w:style>
  <w:style w:type="paragraph" w:styleId="ListBullet2">
    <w:name w:val="List Bullet 2"/>
    <w:basedOn w:val="List2"/>
    <w:rsid w:val="00066C1E"/>
    <w:pPr>
      <w:numPr>
        <w:numId w:val="14"/>
      </w:numPr>
      <w:tabs>
        <w:tab w:val="clear" w:pos="680"/>
      </w:tabs>
    </w:pPr>
  </w:style>
  <w:style w:type="paragraph" w:customStyle="1" w:styleId="SuperHeading">
    <w:name w:val="SuperHeading"/>
    <w:basedOn w:val="Normal"/>
    <w:rsid w:val="00066C1E"/>
    <w:pPr>
      <w:spacing w:before="240" w:after="120"/>
      <w:outlineLvl w:val="0"/>
    </w:pPr>
    <w:rPr>
      <w:rFonts w:ascii="Times New Roman" w:hAnsi="Times New Roman"/>
      <w:b/>
      <w:sz w:val="32"/>
    </w:rPr>
  </w:style>
  <w:style w:type="paragraph" w:customStyle="1" w:styleId="AllowPageBreak">
    <w:name w:val="AllowPageBreak"/>
    <w:rsid w:val="00066C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C1E"/>
    <w:rPr>
      <w:rFonts w:ascii="Courier New" w:eastAsia="Times New Roman" w:hAnsi="Courier New" w:cs="Times New Roman"/>
      <w:i/>
      <w:szCs w:val="20"/>
      <w:lang w:eastAsia="en-US"/>
    </w:rPr>
  </w:style>
  <w:style w:type="paragraph" w:customStyle="1" w:styleId="HeadingBase">
    <w:name w:val="Heading Base"/>
    <w:rsid w:val="00066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C1E"/>
    <w:pPr>
      <w:tabs>
        <w:tab w:val="right" w:leader="dot" w:pos="9072"/>
      </w:tabs>
      <w:ind w:left="567"/>
    </w:pPr>
    <w:rPr>
      <w:szCs w:val="22"/>
    </w:rPr>
  </w:style>
  <w:style w:type="paragraph" w:customStyle="1" w:styleId="TOCBase">
    <w:name w:val="TOC Base"/>
    <w:rsid w:val="00066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C1E"/>
    <w:pPr>
      <w:tabs>
        <w:tab w:val="right" w:leader="dot" w:pos="9072"/>
      </w:tabs>
      <w:spacing w:before="40" w:after="40"/>
      <w:ind w:left="284"/>
    </w:pPr>
    <w:rPr>
      <w:rFonts w:ascii="Times New Roman" w:hAnsi="Times New Roman"/>
    </w:rPr>
  </w:style>
  <w:style w:type="paragraph" w:styleId="TOC1">
    <w:name w:val="toc 1"/>
    <w:basedOn w:val="TOCBase"/>
    <w:next w:val="Normal"/>
    <w:rsid w:val="00066C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C1E"/>
    <w:rPr>
      <w:rFonts w:ascii="Times New Roman" w:eastAsia="Times New Roman" w:hAnsi="Times New Roman" w:cs="Times New Roman"/>
      <w:sz w:val="16"/>
      <w:lang w:eastAsia="en-US"/>
    </w:rPr>
  </w:style>
  <w:style w:type="paragraph" w:styleId="Title">
    <w:name w:val="Title"/>
    <w:basedOn w:val="HeadingBase"/>
    <w:link w:val="TitleChar"/>
    <w:qFormat/>
    <w:rsid w:val="00066C1E"/>
    <w:pPr>
      <w:spacing w:before="5040"/>
      <w:jc w:val="center"/>
    </w:pPr>
    <w:rPr>
      <w:sz w:val="48"/>
      <w:szCs w:val="72"/>
      <w:lang w:val="en-US"/>
    </w:rPr>
  </w:style>
  <w:style w:type="character" w:customStyle="1" w:styleId="TitleChar">
    <w:name w:val="Title Char"/>
    <w:basedOn w:val="DefaultParagraphFont"/>
    <w:link w:val="Title"/>
    <w:rsid w:val="00066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C1E"/>
    <w:pPr>
      <w:tabs>
        <w:tab w:val="left" w:pos="3600"/>
        <w:tab w:val="left" w:pos="3958"/>
      </w:tabs>
    </w:pPr>
  </w:style>
  <w:style w:type="paragraph" w:styleId="List">
    <w:name w:val="List"/>
    <w:basedOn w:val="BodyText"/>
    <w:next w:val="BodyText"/>
    <w:rsid w:val="00066C1E"/>
    <w:pPr>
      <w:tabs>
        <w:tab w:val="left" w:pos="340"/>
      </w:tabs>
      <w:spacing w:before="60" w:after="60"/>
      <w:ind w:left="340" w:hanging="340"/>
    </w:pPr>
  </w:style>
  <w:style w:type="paragraph" w:customStyle="1" w:styleId="Note">
    <w:name w:val="Note"/>
    <w:basedOn w:val="BodyText"/>
    <w:rsid w:val="00066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C1E"/>
    <w:pPr>
      <w:framePr w:wrap="auto" w:hAnchor="text" w:y="6049"/>
    </w:pPr>
    <w:rPr>
      <w:color w:val="000000"/>
      <w:sz w:val="40"/>
    </w:rPr>
  </w:style>
  <w:style w:type="paragraph" w:customStyle="1" w:styleId="TOCTitle">
    <w:name w:val="TOCTitle"/>
    <w:basedOn w:val="Heading1"/>
    <w:rsid w:val="00066C1E"/>
    <w:pPr>
      <w:spacing w:after="240"/>
      <w:jc w:val="center"/>
      <w:outlineLvl w:val="9"/>
    </w:pPr>
    <w:rPr>
      <w:caps/>
    </w:rPr>
  </w:style>
  <w:style w:type="paragraph" w:customStyle="1" w:styleId="Version">
    <w:name w:val="Version"/>
    <w:rsid w:val="00066C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C1E"/>
    <w:pPr>
      <w:keepNext w:val="0"/>
      <w:tabs>
        <w:tab w:val="right" w:pos="4176"/>
      </w:tabs>
      <w:ind w:left="198" w:hanging="198"/>
    </w:pPr>
    <w:rPr>
      <w:rFonts w:ascii="Garamond" w:hAnsi="Garamond"/>
    </w:rPr>
  </w:style>
  <w:style w:type="paragraph" w:styleId="IndexHeading">
    <w:name w:val="index heading"/>
    <w:basedOn w:val="Normal"/>
    <w:next w:val="Index1"/>
    <w:semiHidden/>
    <w:rsid w:val="00066C1E"/>
    <w:pPr>
      <w:spacing w:before="120" w:after="120"/>
    </w:pPr>
    <w:rPr>
      <w:rFonts w:ascii="Arial" w:hAnsi="Arial"/>
      <w:b/>
      <w:color w:val="918585"/>
      <w:sz w:val="24"/>
    </w:rPr>
  </w:style>
  <w:style w:type="paragraph" w:styleId="Header">
    <w:name w:val="header"/>
    <w:basedOn w:val="Normal"/>
    <w:link w:val="HeaderChar"/>
    <w:rsid w:val="00066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C1E"/>
    <w:rPr>
      <w:rFonts w:ascii="Times New Roman" w:eastAsia="Times New Roman" w:hAnsi="Times New Roman" w:cs="Times New Roman"/>
      <w:sz w:val="16"/>
      <w:szCs w:val="20"/>
      <w:lang w:val="en-GB" w:eastAsia="en-US"/>
    </w:rPr>
  </w:style>
  <w:style w:type="paragraph" w:customStyle="1" w:styleId="Chapter">
    <w:name w:val="Chapter"/>
    <w:basedOn w:val="Normal"/>
    <w:rsid w:val="00066C1E"/>
    <w:pPr>
      <w:spacing w:before="240"/>
    </w:pPr>
    <w:rPr>
      <w:rFonts w:ascii="Times New Roman" w:hAnsi="Times New Roman"/>
      <w:smallCaps/>
      <w:spacing w:val="80"/>
      <w:sz w:val="28"/>
    </w:rPr>
  </w:style>
  <w:style w:type="paragraph" w:customStyle="1" w:styleId="InChapter">
    <w:name w:val="InChapter"/>
    <w:basedOn w:val="Heading3"/>
    <w:rsid w:val="00066C1E"/>
    <w:pPr>
      <w:spacing w:after="240"/>
      <w:outlineLvl w:val="9"/>
    </w:pPr>
    <w:rPr>
      <w:noProof/>
    </w:rPr>
  </w:style>
  <w:style w:type="paragraph" w:styleId="Index2">
    <w:name w:val="index 2"/>
    <w:basedOn w:val="Normal"/>
    <w:next w:val="Normal"/>
    <w:semiHidden/>
    <w:rsid w:val="00066C1E"/>
    <w:pPr>
      <w:tabs>
        <w:tab w:val="right" w:pos="4176"/>
      </w:tabs>
      <w:ind w:left="568" w:hanging="284"/>
    </w:pPr>
    <w:rPr>
      <w:rFonts w:ascii="Garamond" w:hAnsi="Garamond"/>
    </w:rPr>
  </w:style>
  <w:style w:type="paragraph" w:customStyle="1" w:styleId="Byline">
    <w:name w:val="Byline"/>
    <w:rsid w:val="00066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C1E"/>
    <w:pPr>
      <w:tabs>
        <w:tab w:val="clear" w:pos="3600"/>
        <w:tab w:val="clear" w:pos="3958"/>
      </w:tabs>
      <w:jc w:val="right"/>
    </w:pPr>
  </w:style>
  <w:style w:type="character" w:styleId="Emphasis">
    <w:name w:val="Emphasis"/>
    <w:basedOn w:val="DefaultParagraphFont"/>
    <w:qFormat/>
    <w:rsid w:val="00066C1E"/>
    <w:rPr>
      <w:i/>
    </w:rPr>
  </w:style>
  <w:style w:type="paragraph" w:styleId="Caption">
    <w:name w:val="caption"/>
    <w:basedOn w:val="BodyText"/>
    <w:next w:val="Normal"/>
    <w:qFormat/>
    <w:rsid w:val="00066C1E"/>
    <w:pPr>
      <w:framePr w:w="2268" w:hSpace="181" w:vSpace="181" w:wrap="around" w:vAnchor="text" w:hAnchor="page" w:x="1135" w:y="285" w:anchorLock="1"/>
    </w:pPr>
    <w:rPr>
      <w:i/>
    </w:rPr>
  </w:style>
  <w:style w:type="paragraph" w:customStyle="1" w:styleId="MiniTOCTitle">
    <w:name w:val="MiniTOCTitle"/>
    <w:basedOn w:val="Heading4"/>
    <w:rsid w:val="00066C1E"/>
    <w:pPr>
      <w:spacing w:before="240"/>
      <w:outlineLvl w:val="9"/>
    </w:pPr>
    <w:rPr>
      <w:noProof/>
      <w:sz w:val="24"/>
    </w:rPr>
  </w:style>
  <w:style w:type="paragraph" w:customStyle="1" w:styleId="MiniTOCItem">
    <w:name w:val="MiniTOCItem"/>
    <w:basedOn w:val="ListBullet"/>
    <w:rsid w:val="00066C1E"/>
    <w:pPr>
      <w:numPr>
        <w:numId w:val="0"/>
      </w:numPr>
      <w:tabs>
        <w:tab w:val="right" w:leader="dot" w:pos="6521"/>
      </w:tabs>
      <w:spacing w:before="0" w:after="0"/>
    </w:pPr>
  </w:style>
  <w:style w:type="paragraph" w:customStyle="1" w:styleId="TOFTitle">
    <w:name w:val="TOFTitle"/>
    <w:basedOn w:val="TOCTitle"/>
    <w:rsid w:val="00066C1E"/>
  </w:style>
  <w:style w:type="paragraph" w:styleId="TableofFigures">
    <w:name w:val="table of figures"/>
    <w:basedOn w:val="Normal"/>
    <w:next w:val="Normal"/>
    <w:semiHidden/>
    <w:rsid w:val="00066C1E"/>
    <w:pPr>
      <w:tabs>
        <w:tab w:val="right" w:leader="dot" w:pos="9072"/>
      </w:tabs>
      <w:ind w:left="970" w:hanging="403"/>
    </w:pPr>
    <w:rPr>
      <w:rFonts w:ascii="Times New Roman" w:hAnsi="Times New Roman"/>
      <w:b/>
    </w:rPr>
  </w:style>
  <w:style w:type="paragraph" w:styleId="ListNumber">
    <w:name w:val="List Number"/>
    <w:basedOn w:val="List"/>
    <w:rsid w:val="00066C1E"/>
    <w:pPr>
      <w:numPr>
        <w:numId w:val="11"/>
      </w:numPr>
    </w:pPr>
  </w:style>
  <w:style w:type="character" w:customStyle="1" w:styleId="WingdingSymbols">
    <w:name w:val="Wingding Symbols"/>
    <w:rsid w:val="00066C1E"/>
    <w:rPr>
      <w:rFonts w:ascii="Wingdings" w:hAnsi="Wingdings"/>
    </w:rPr>
  </w:style>
  <w:style w:type="paragraph" w:customStyle="1" w:styleId="TableHeading">
    <w:name w:val="Table Heading"/>
    <w:basedOn w:val="HeadingBase"/>
    <w:rsid w:val="00066C1E"/>
    <w:pPr>
      <w:keepLines/>
      <w:pBdr>
        <w:bottom w:val="single" w:sz="6" w:space="1" w:color="918585"/>
      </w:pBdr>
      <w:spacing w:before="240"/>
    </w:pPr>
  </w:style>
  <w:style w:type="character" w:customStyle="1" w:styleId="HotSpot">
    <w:name w:val="HotSpot"/>
    <w:rsid w:val="00066C1E"/>
    <w:rPr>
      <w:color w:val="0033CC"/>
      <w:u w:val="none"/>
    </w:rPr>
  </w:style>
  <w:style w:type="paragraph" w:customStyle="1" w:styleId="BodyTextRight">
    <w:name w:val="Body Text Right"/>
    <w:basedOn w:val="BodyText"/>
    <w:rsid w:val="00066C1E"/>
    <w:pPr>
      <w:spacing w:before="0" w:after="0"/>
      <w:jc w:val="right"/>
    </w:pPr>
  </w:style>
  <w:style w:type="paragraph" w:styleId="Index3">
    <w:name w:val="index 3"/>
    <w:basedOn w:val="ListNumber2"/>
    <w:next w:val="Normal"/>
    <w:semiHidden/>
    <w:rsid w:val="00066C1E"/>
    <w:pPr>
      <w:numPr>
        <w:numId w:val="0"/>
      </w:numPr>
      <w:tabs>
        <w:tab w:val="right" w:leader="dot" w:pos="4176"/>
      </w:tabs>
    </w:pPr>
  </w:style>
  <w:style w:type="paragraph" w:styleId="ListNumber2">
    <w:name w:val="List Number 2"/>
    <w:basedOn w:val="List2"/>
    <w:rsid w:val="00066C1E"/>
    <w:pPr>
      <w:numPr>
        <w:numId w:val="10"/>
      </w:numPr>
      <w:tabs>
        <w:tab w:val="clear" w:pos="1060"/>
      </w:tabs>
    </w:pPr>
  </w:style>
  <w:style w:type="paragraph" w:customStyle="1" w:styleId="MarginNote">
    <w:name w:val="Margin Note"/>
    <w:basedOn w:val="BodyText"/>
    <w:rsid w:val="00066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C1E"/>
    <w:rPr>
      <w:sz w:val="32"/>
    </w:rPr>
  </w:style>
  <w:style w:type="paragraph" w:customStyle="1" w:styleId="HeadingProcedure">
    <w:name w:val="Heading Procedure"/>
    <w:basedOn w:val="HeadingBase"/>
    <w:next w:val="Normal"/>
    <w:rsid w:val="00066C1E"/>
    <w:pPr>
      <w:tabs>
        <w:tab w:val="left" w:pos="0"/>
      </w:tabs>
      <w:spacing w:before="120" w:after="60"/>
    </w:pPr>
    <w:rPr>
      <w:i/>
      <w:color w:val="918585"/>
      <w:sz w:val="22"/>
    </w:rPr>
  </w:style>
  <w:style w:type="paragraph" w:customStyle="1" w:styleId="TableBodyText">
    <w:name w:val="Table Body Text"/>
    <w:basedOn w:val="BodyText"/>
    <w:rsid w:val="00066C1E"/>
    <w:pPr>
      <w:spacing w:before="60" w:after="60"/>
    </w:pPr>
  </w:style>
  <w:style w:type="paragraph" w:styleId="ListContinue">
    <w:name w:val="List Continue"/>
    <w:basedOn w:val="List"/>
    <w:rsid w:val="00066C1E"/>
    <w:pPr>
      <w:ind w:firstLine="0"/>
    </w:pPr>
  </w:style>
  <w:style w:type="paragraph" w:customStyle="1" w:styleId="ListNote">
    <w:name w:val="List Note"/>
    <w:basedOn w:val="List"/>
    <w:rsid w:val="00066C1E"/>
    <w:pPr>
      <w:pBdr>
        <w:top w:val="single" w:sz="6" w:space="2" w:color="918585"/>
        <w:bottom w:val="single" w:sz="6" w:space="2" w:color="918585"/>
      </w:pBdr>
      <w:tabs>
        <w:tab w:val="left" w:pos="1021"/>
      </w:tabs>
      <w:ind w:firstLine="0"/>
    </w:pPr>
  </w:style>
  <w:style w:type="paragraph" w:customStyle="1" w:styleId="Warning">
    <w:name w:val="Warning"/>
    <w:basedOn w:val="BodyText"/>
    <w:rsid w:val="00066C1E"/>
    <w:pPr>
      <w:shd w:val="clear" w:color="auto" w:fill="D9D9D9"/>
      <w:tabs>
        <w:tab w:val="left" w:pos="992"/>
      </w:tabs>
      <w:ind w:left="119" w:right="119"/>
    </w:pPr>
    <w:rPr>
      <w:sz w:val="20"/>
    </w:rPr>
  </w:style>
  <w:style w:type="paragraph" w:customStyle="1" w:styleId="MarginIcons">
    <w:name w:val="Margin Icons"/>
    <w:basedOn w:val="BodyText"/>
    <w:rsid w:val="00066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C1E"/>
    <w:rPr>
      <w:rFonts w:ascii="Courier New" w:hAnsi="Courier New"/>
    </w:rPr>
  </w:style>
  <w:style w:type="paragraph" w:customStyle="1" w:styleId="NoteBullet">
    <w:name w:val="Note Bullet"/>
    <w:basedOn w:val="Note"/>
    <w:rsid w:val="00066C1E"/>
    <w:pPr>
      <w:tabs>
        <w:tab w:val="clear" w:pos="680"/>
      </w:tabs>
      <w:spacing w:before="60" w:after="60"/>
    </w:pPr>
  </w:style>
  <w:style w:type="paragraph" w:customStyle="1" w:styleId="SubHeading2">
    <w:name w:val="SubHeading2"/>
    <w:basedOn w:val="HeadingBase"/>
    <w:rsid w:val="00066C1E"/>
    <w:pPr>
      <w:spacing w:before="240" w:after="60"/>
    </w:pPr>
    <w:rPr>
      <w:sz w:val="20"/>
    </w:rPr>
  </w:style>
  <w:style w:type="paragraph" w:customStyle="1" w:styleId="SubHeading1">
    <w:name w:val="SubHeading1"/>
    <w:basedOn w:val="HeadingBase"/>
    <w:rsid w:val="00066C1E"/>
    <w:pPr>
      <w:spacing w:before="240" w:after="60"/>
    </w:pPr>
    <w:rPr>
      <w:color w:val="918585"/>
      <w:sz w:val="22"/>
    </w:rPr>
  </w:style>
  <w:style w:type="paragraph" w:customStyle="1" w:styleId="SideHeading">
    <w:name w:val="Side Heading"/>
    <w:basedOn w:val="HeadingBase"/>
    <w:rsid w:val="00066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C1E"/>
    <w:pPr>
      <w:numPr>
        <w:numId w:val="12"/>
      </w:numPr>
    </w:pPr>
  </w:style>
  <w:style w:type="paragraph" w:styleId="PlainText">
    <w:name w:val="Plain Text"/>
    <w:basedOn w:val="Normal"/>
    <w:link w:val="PlainTextChar"/>
    <w:rsid w:val="00066C1E"/>
    <w:rPr>
      <w:sz w:val="20"/>
    </w:rPr>
  </w:style>
  <w:style w:type="character" w:customStyle="1" w:styleId="PlainTextChar">
    <w:name w:val="Plain Text Char"/>
    <w:basedOn w:val="DefaultParagraphFont"/>
    <w:link w:val="PlainText"/>
    <w:rsid w:val="00066C1E"/>
    <w:rPr>
      <w:rFonts w:ascii="Courier New" w:eastAsia="Times New Roman" w:hAnsi="Courier New" w:cs="Times New Roman"/>
      <w:sz w:val="20"/>
      <w:szCs w:val="20"/>
      <w:lang w:eastAsia="en-US"/>
    </w:rPr>
  </w:style>
  <w:style w:type="character" w:customStyle="1" w:styleId="MenuOption">
    <w:name w:val="Menu Option"/>
    <w:basedOn w:val="DefaultParagraphFont"/>
    <w:rsid w:val="00066C1E"/>
    <w:rPr>
      <w:b/>
      <w:smallCaps/>
    </w:rPr>
  </w:style>
  <w:style w:type="paragraph" w:customStyle="1" w:styleId="TableListNumber">
    <w:name w:val="Table List Number"/>
    <w:basedOn w:val="ListNumber"/>
    <w:rsid w:val="00066C1E"/>
    <w:pPr>
      <w:numPr>
        <w:numId w:val="0"/>
      </w:numPr>
    </w:pPr>
  </w:style>
  <w:style w:type="paragraph" w:styleId="TOC4">
    <w:name w:val="toc 4"/>
    <w:basedOn w:val="TOCBase"/>
    <w:next w:val="Normal"/>
    <w:semiHidden/>
    <w:rsid w:val="00066C1E"/>
    <w:pPr>
      <w:tabs>
        <w:tab w:val="right" w:leader="dot" w:pos="9071"/>
      </w:tabs>
      <w:ind w:left="1701"/>
    </w:pPr>
  </w:style>
  <w:style w:type="paragraph" w:customStyle="1" w:styleId="ListAlpha">
    <w:name w:val="List Alpha"/>
    <w:basedOn w:val="List"/>
    <w:rsid w:val="00066C1E"/>
    <w:pPr>
      <w:numPr>
        <w:numId w:val="9"/>
      </w:numPr>
    </w:pPr>
  </w:style>
  <w:style w:type="paragraph" w:customStyle="1" w:styleId="ListAlpha2">
    <w:name w:val="List Alpha 2"/>
    <w:basedOn w:val="List2"/>
    <w:rsid w:val="00066C1E"/>
    <w:pPr>
      <w:numPr>
        <w:numId w:val="8"/>
      </w:numPr>
    </w:pPr>
  </w:style>
  <w:style w:type="paragraph" w:styleId="List2">
    <w:name w:val="List 2"/>
    <w:basedOn w:val="BodyText"/>
    <w:rsid w:val="00066C1E"/>
    <w:pPr>
      <w:tabs>
        <w:tab w:val="left" w:pos="680"/>
      </w:tabs>
      <w:spacing w:before="60" w:after="60"/>
      <w:ind w:left="680" w:hanging="340"/>
    </w:pPr>
  </w:style>
  <w:style w:type="paragraph" w:styleId="List3">
    <w:name w:val="List 3"/>
    <w:basedOn w:val="BodyText"/>
    <w:rsid w:val="00066C1E"/>
    <w:pPr>
      <w:tabs>
        <w:tab w:val="left" w:pos="1021"/>
      </w:tabs>
      <w:spacing w:before="60" w:after="60"/>
      <w:ind w:left="1020" w:hanging="340"/>
    </w:pPr>
  </w:style>
  <w:style w:type="paragraph" w:styleId="List4">
    <w:name w:val="List 4"/>
    <w:basedOn w:val="BodyText"/>
    <w:rsid w:val="00066C1E"/>
    <w:pPr>
      <w:tabs>
        <w:tab w:val="left" w:pos="1361"/>
      </w:tabs>
      <w:spacing w:before="60" w:after="60"/>
      <w:ind w:left="1361" w:hanging="340"/>
    </w:pPr>
  </w:style>
  <w:style w:type="paragraph" w:styleId="List5">
    <w:name w:val="List 5"/>
    <w:basedOn w:val="BodyText"/>
    <w:rsid w:val="00066C1E"/>
    <w:pPr>
      <w:tabs>
        <w:tab w:val="left" w:pos="1701"/>
      </w:tabs>
      <w:spacing w:before="60" w:after="60"/>
      <w:ind w:left="1701" w:hanging="340"/>
    </w:pPr>
  </w:style>
  <w:style w:type="paragraph" w:styleId="ListBullet3">
    <w:name w:val="List Bullet 3"/>
    <w:basedOn w:val="List3"/>
    <w:rsid w:val="00066C1E"/>
    <w:pPr>
      <w:numPr>
        <w:numId w:val="15"/>
      </w:numPr>
      <w:tabs>
        <w:tab w:val="clear" w:pos="1021"/>
      </w:tabs>
      <w:ind w:left="1037" w:hanging="357"/>
    </w:pPr>
  </w:style>
  <w:style w:type="paragraph" w:styleId="ListBullet4">
    <w:name w:val="List Bullet 4"/>
    <w:basedOn w:val="List4"/>
    <w:rsid w:val="00066C1E"/>
    <w:pPr>
      <w:numPr>
        <w:numId w:val="3"/>
      </w:numPr>
      <w:tabs>
        <w:tab w:val="clear" w:pos="1361"/>
      </w:tabs>
    </w:pPr>
  </w:style>
  <w:style w:type="paragraph" w:styleId="ListBullet5">
    <w:name w:val="List Bullet 5"/>
    <w:basedOn w:val="List5"/>
    <w:rsid w:val="00066C1E"/>
    <w:pPr>
      <w:numPr>
        <w:numId w:val="4"/>
      </w:numPr>
    </w:pPr>
  </w:style>
  <w:style w:type="paragraph" w:styleId="ListContinue2">
    <w:name w:val="List Continue 2"/>
    <w:basedOn w:val="List2"/>
    <w:rsid w:val="00066C1E"/>
    <w:pPr>
      <w:ind w:firstLine="0"/>
    </w:pPr>
  </w:style>
  <w:style w:type="paragraph" w:styleId="ListContinue3">
    <w:name w:val="List Continue 3"/>
    <w:basedOn w:val="List3"/>
    <w:rsid w:val="00066C1E"/>
    <w:pPr>
      <w:ind w:left="1021" w:firstLine="0"/>
    </w:pPr>
  </w:style>
  <w:style w:type="paragraph" w:styleId="ListContinue4">
    <w:name w:val="List Continue 4"/>
    <w:basedOn w:val="List4"/>
    <w:rsid w:val="00066C1E"/>
    <w:pPr>
      <w:ind w:firstLine="0"/>
    </w:pPr>
  </w:style>
  <w:style w:type="paragraph" w:styleId="ListContinue5">
    <w:name w:val="List Continue 5"/>
    <w:basedOn w:val="List5"/>
    <w:rsid w:val="00066C1E"/>
    <w:pPr>
      <w:ind w:firstLine="0"/>
    </w:pPr>
  </w:style>
  <w:style w:type="paragraph" w:styleId="ListNumber3">
    <w:name w:val="List Number 3"/>
    <w:basedOn w:val="List3"/>
    <w:rsid w:val="00066C1E"/>
    <w:pPr>
      <w:numPr>
        <w:numId w:val="5"/>
      </w:numPr>
    </w:pPr>
  </w:style>
  <w:style w:type="paragraph" w:styleId="ListNumber4">
    <w:name w:val="List Number 4"/>
    <w:basedOn w:val="List4"/>
    <w:rsid w:val="00066C1E"/>
    <w:pPr>
      <w:numPr>
        <w:numId w:val="6"/>
      </w:numPr>
    </w:pPr>
  </w:style>
  <w:style w:type="paragraph" w:styleId="ListNumber5">
    <w:name w:val="List Number 5"/>
    <w:basedOn w:val="List5"/>
    <w:rsid w:val="00066C1E"/>
    <w:pPr>
      <w:numPr>
        <w:numId w:val="7"/>
      </w:numPr>
    </w:pPr>
  </w:style>
  <w:style w:type="paragraph" w:styleId="BlockText">
    <w:name w:val="Block Text"/>
    <w:basedOn w:val="Normal"/>
    <w:rsid w:val="00066C1E"/>
    <w:pPr>
      <w:spacing w:after="120"/>
      <w:ind w:left="1440" w:right="1440"/>
    </w:pPr>
  </w:style>
  <w:style w:type="character" w:customStyle="1" w:styleId="Subscript">
    <w:name w:val="Subscript"/>
    <w:basedOn w:val="DefaultParagraphFont"/>
    <w:rsid w:val="00066C1E"/>
    <w:rPr>
      <w:sz w:val="16"/>
      <w:vertAlign w:val="subscript"/>
    </w:rPr>
  </w:style>
  <w:style w:type="character" w:customStyle="1" w:styleId="Superscript">
    <w:name w:val="Superscript"/>
    <w:basedOn w:val="DefaultParagraphFont"/>
    <w:rsid w:val="00066C1E"/>
    <w:rPr>
      <w:sz w:val="16"/>
      <w:vertAlign w:val="superscript"/>
    </w:rPr>
  </w:style>
  <w:style w:type="character" w:customStyle="1" w:styleId="Symbols">
    <w:name w:val="Symbols"/>
    <w:basedOn w:val="DefaultParagraphFont"/>
    <w:rsid w:val="00066C1E"/>
    <w:rPr>
      <w:rFonts w:ascii="Symbol" w:hAnsi="Symbol"/>
    </w:rPr>
  </w:style>
  <w:style w:type="character" w:customStyle="1" w:styleId="MenuOptions">
    <w:name w:val="Menu Options"/>
    <w:basedOn w:val="DefaultParagraphFont"/>
    <w:rsid w:val="00066C1E"/>
    <w:rPr>
      <w:rFonts w:ascii="Arial Narrow" w:hAnsi="Arial Narrow"/>
      <w:smallCaps/>
    </w:rPr>
  </w:style>
  <w:style w:type="character" w:customStyle="1" w:styleId="Buttons">
    <w:name w:val="Buttons"/>
    <w:basedOn w:val="DefaultParagraphFont"/>
    <w:rsid w:val="00066C1E"/>
    <w:rPr>
      <w:b/>
    </w:rPr>
  </w:style>
  <w:style w:type="character" w:customStyle="1" w:styleId="Underlined">
    <w:name w:val="Underlined"/>
    <w:basedOn w:val="DefaultParagraphFont"/>
    <w:rsid w:val="00066C1E"/>
    <w:rPr>
      <w:u w:val="single"/>
    </w:rPr>
  </w:style>
  <w:style w:type="paragraph" w:customStyle="1" w:styleId="TableBodyTextRight">
    <w:name w:val="Table Body Text Right"/>
    <w:basedOn w:val="TableBodyText"/>
    <w:rsid w:val="00066C1E"/>
    <w:pPr>
      <w:widowControl w:val="0"/>
      <w:autoSpaceDE w:val="0"/>
      <w:autoSpaceDN w:val="0"/>
      <w:adjustRightInd w:val="0"/>
      <w:jc w:val="right"/>
    </w:pPr>
    <w:rPr>
      <w:rFonts w:cs="Arial"/>
      <w:szCs w:val="18"/>
    </w:rPr>
  </w:style>
  <w:style w:type="paragraph" w:customStyle="1" w:styleId="CopyrightText">
    <w:name w:val="Copyright Text"/>
    <w:basedOn w:val="BodyText"/>
    <w:rsid w:val="00066C1E"/>
    <w:rPr>
      <w:sz w:val="18"/>
    </w:rPr>
  </w:style>
  <w:style w:type="paragraph" w:customStyle="1" w:styleId="BodySmallRight">
    <w:name w:val="Body Small Right"/>
    <w:basedOn w:val="BodyTextRight"/>
    <w:rsid w:val="00066C1E"/>
    <w:rPr>
      <w:sz w:val="18"/>
      <w:szCs w:val="18"/>
    </w:rPr>
  </w:style>
  <w:style w:type="paragraph" w:customStyle="1" w:styleId="MarginEdition">
    <w:name w:val="Margin Edition"/>
    <w:basedOn w:val="MarginNote"/>
    <w:rsid w:val="00066C1E"/>
    <w:pPr>
      <w:spacing w:before="0" w:after="0"/>
    </w:pPr>
    <w:rPr>
      <w:rFonts w:ascii="Times New Roman" w:hAnsi="Times New Roman"/>
      <w:color w:val="999999"/>
    </w:rPr>
  </w:style>
  <w:style w:type="paragraph" w:customStyle="1" w:styleId="Spacer">
    <w:name w:val="Spacer"/>
    <w:basedOn w:val="Normal"/>
    <w:rsid w:val="00066C1E"/>
    <w:rPr>
      <w:sz w:val="2"/>
      <w:szCs w:val="2"/>
    </w:rPr>
  </w:style>
  <w:style w:type="character" w:customStyle="1" w:styleId="Small">
    <w:name w:val="Small"/>
    <w:basedOn w:val="DefaultParagraphFont"/>
    <w:rsid w:val="00066C1E"/>
    <w:rPr>
      <w:sz w:val="16"/>
    </w:rPr>
  </w:style>
  <w:style w:type="paragraph" w:customStyle="1" w:styleId="WideTable">
    <w:name w:val="Wide Table"/>
    <w:basedOn w:val="Normal"/>
    <w:rsid w:val="00066C1E"/>
    <w:pPr>
      <w:ind w:left="-1418"/>
    </w:pPr>
    <w:rPr>
      <w:sz w:val="2"/>
      <w:szCs w:val="2"/>
    </w:rPr>
  </w:style>
  <w:style w:type="character" w:styleId="PageNumber">
    <w:name w:val="page number"/>
    <w:basedOn w:val="DefaultParagraphFont"/>
    <w:rsid w:val="00066C1E"/>
  </w:style>
  <w:style w:type="paragraph" w:styleId="Quote">
    <w:name w:val="Quote"/>
    <w:basedOn w:val="Heading1"/>
    <w:link w:val="QuoteChar"/>
    <w:qFormat/>
    <w:rsid w:val="00066C1E"/>
    <w:rPr>
      <w:b w:val="0"/>
      <w:sz w:val="72"/>
      <w:szCs w:val="72"/>
      <w:lang w:val="en-NZ"/>
    </w:rPr>
  </w:style>
  <w:style w:type="character" w:customStyle="1" w:styleId="QuoteChar">
    <w:name w:val="Quote Char"/>
    <w:basedOn w:val="DefaultParagraphFont"/>
    <w:link w:val="Quote"/>
    <w:rsid w:val="00066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C1E"/>
    <w:pPr>
      <w:pageBreakBefore/>
    </w:pPr>
  </w:style>
  <w:style w:type="paragraph" w:customStyle="1" w:styleId="Border">
    <w:name w:val="Border"/>
    <w:basedOn w:val="Normal"/>
    <w:qFormat/>
    <w:rsid w:val="00066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C1E"/>
    <w:rPr>
      <w:b/>
      <w:bCs/>
      <w:i/>
      <w:iCs/>
      <w:color w:val="auto"/>
    </w:rPr>
  </w:style>
  <w:style w:type="paragraph" w:styleId="IntenseQuote">
    <w:name w:val="Intense Quote"/>
    <w:basedOn w:val="Normal"/>
    <w:next w:val="Normal"/>
    <w:link w:val="IntenseQuoteChar"/>
    <w:uiPriority w:val="30"/>
    <w:qFormat/>
    <w:rsid w:val="00066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C1E"/>
    <w:rPr>
      <w:smallCaps/>
      <w:color w:val="auto"/>
      <w:u w:val="single"/>
    </w:rPr>
  </w:style>
  <w:style w:type="character" w:styleId="IntenseReference">
    <w:name w:val="Intense Reference"/>
    <w:basedOn w:val="DefaultParagraphFont"/>
    <w:uiPriority w:val="32"/>
    <w:qFormat/>
    <w:rsid w:val="00066C1E"/>
    <w:rPr>
      <w:b/>
      <w:bCs/>
      <w:smallCaps/>
      <w:color w:val="auto"/>
      <w:spacing w:val="5"/>
      <w:u w:val="single"/>
    </w:rPr>
  </w:style>
  <w:style w:type="paragraph" w:customStyle="1" w:styleId="2ColumnHeading">
    <w:name w:val="2Column Heading"/>
    <w:basedOn w:val="BodyText"/>
    <w:qFormat/>
    <w:rsid w:val="00066C1E"/>
    <w:pPr>
      <w:spacing w:after="60"/>
      <w:ind w:left="-2268"/>
    </w:pPr>
    <w:rPr>
      <w:b/>
    </w:rPr>
  </w:style>
  <w:style w:type="paragraph" w:customStyle="1" w:styleId="Heading1TOC">
    <w:name w:val="Heading1 TOC"/>
    <w:basedOn w:val="Normal"/>
    <w:qFormat/>
    <w:rsid w:val="00066C1E"/>
    <w:pPr>
      <w:spacing w:before="240" w:after="120"/>
    </w:pPr>
    <w:rPr>
      <w:rFonts w:ascii="Times New Roman" w:hAnsi="Times New Roman"/>
      <w:b/>
      <w:sz w:val="32"/>
    </w:rPr>
  </w:style>
  <w:style w:type="paragraph" w:customStyle="1" w:styleId="Heading2TOC">
    <w:name w:val="Heading2 TOC"/>
    <w:basedOn w:val="Normal"/>
    <w:qFormat/>
    <w:rsid w:val="00066C1E"/>
    <w:pPr>
      <w:spacing w:before="240" w:after="60"/>
    </w:pPr>
    <w:rPr>
      <w:rFonts w:ascii="Times New Roman" w:hAnsi="Times New Roman"/>
      <w:b/>
      <w:sz w:val="28"/>
    </w:rPr>
  </w:style>
  <w:style w:type="character" w:customStyle="1" w:styleId="Underline">
    <w:name w:val="Underline"/>
    <w:basedOn w:val="DefaultParagraphFont"/>
    <w:qFormat/>
    <w:rsid w:val="00066C1E"/>
    <w:rPr>
      <w:u w:val="single"/>
    </w:rPr>
  </w:style>
  <w:style w:type="character" w:customStyle="1" w:styleId="BoldandItalics">
    <w:name w:val="Bold and Italics"/>
    <w:qFormat/>
    <w:rsid w:val="00066C1E"/>
    <w:rPr>
      <w:b/>
      <w:i/>
      <w:u w:val="none"/>
    </w:rPr>
  </w:style>
  <w:style w:type="paragraph" w:styleId="BalloonText">
    <w:name w:val="Balloon Text"/>
    <w:basedOn w:val="Normal"/>
    <w:link w:val="BalloonTextChar"/>
    <w:rsid w:val="00066C1E"/>
    <w:rPr>
      <w:rFonts w:ascii="Tahoma" w:hAnsi="Tahoma" w:cs="Tahoma"/>
      <w:sz w:val="16"/>
      <w:szCs w:val="16"/>
    </w:rPr>
  </w:style>
  <w:style w:type="character" w:customStyle="1" w:styleId="BalloonTextChar">
    <w:name w:val="Balloon Text Char"/>
    <w:basedOn w:val="DefaultParagraphFont"/>
    <w:link w:val="BalloonText"/>
    <w:rsid w:val="00066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C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6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C1E"/>
    <w:rPr>
      <w:b/>
      <w:color w:val="660033"/>
      <w:spacing w:val="0"/>
    </w:rPr>
  </w:style>
  <w:style w:type="paragraph" w:customStyle="1" w:styleId="Nameditemlist">
    <w:name w:val="Named item list"/>
    <w:basedOn w:val="BodyText"/>
    <w:qFormat/>
    <w:rsid w:val="00066C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5376</Characters>
  <Application>Microsoft Office Word</Application>
  <DocSecurity>0</DocSecurity>
  <Lines>232</Lines>
  <Paragraphs>117</Paragraphs>
  <ScaleCrop>false</ScaleCrop>
  <Company>Author-it Software Corporation Ltd.</Company>
  <LinksUpToDate>false</LinksUpToDate>
  <CharactersWithSpaces>6128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MSFGG3014 Construct and repair leadlight panels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2016-12-09T03:54:00Z</dcterms:created>
  <dcterms:modified xsi:type="dcterms:W3CDTF">2016-12-09T03:54:00Z</dcterms:modified>
</cp:coreProperties>
</file>