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D74" w:rsidP="00B44D74">
      <w:pPr>
        <w:pStyle w:val="Title"/>
      </w:pPr>
      <w:r>
        <w:fldChar w:fldCharType="begin"/>
      </w:r>
      <w:r>
        <w:instrText xml:space="preserve"> TITLE   \* MERGEFORMAT </w:instrText>
      </w:r>
      <w:r>
        <w:fldChar w:fldCharType="separate"/>
      </w:r>
      <w:r>
        <w:t>MSFGG3013 Set up and operate insulated glass unit (IGU) manufacturing equipment</w:t>
      </w:r>
      <w:r>
        <w:fldChar w:fldCharType="end"/>
      </w:r>
    </w:p>
    <w:p w:rsidR="00B44D74" w:rsidP="00B44D74">
      <w:pPr>
        <w:pStyle w:val="Version"/>
        <w:sectPr w:rsidSect="000F1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1B7C" w:rsidP="000F1B7C">
      <w:pPr>
        <w:pStyle w:val="SuperHeading"/>
      </w:pPr>
      <w:r w:rsidRPr="000F1B7C">
        <w:t>MSFGG3013 Set up and operate insulated glass unit (IGU) manufacturing equipment</w:t>
      </w:r>
    </w:p>
    <w:p w:rsidR="00000000" w:rsidRPr="000F1B7C" w:rsidP="000F1B7C">
      <w:pPr>
        <w:pStyle w:val="Heading1"/>
      </w:pPr>
      <w:bookmarkStart w:id="1" w:name="O_798268"/>
      <w:bookmarkEnd w:id="1"/>
      <w:r w:rsidRPr="000F1B7C">
        <w:t>Modification History</w:t>
      </w:r>
    </w:p>
    <w:p w:rsidR="00000000" w:rsidRPr="000F1B7C" w:rsidP="000F1B7C">
      <w:pPr>
        <w:pStyle w:val="BodyText"/>
      </w:pPr>
      <w:r w:rsidRPr="000F1B7C">
        <w:t>Release 2 - Update of Australian Standards codes.  Statement regarding currency of Australian Standards included in Range of Conditions and Performance Evidence.</w:t>
      </w:r>
    </w:p>
    <w:p w:rsidR="00000000" w:rsidRPr="000F1B7C" w:rsidP="000F1B7C">
      <w:pPr>
        <w:pStyle w:val="BodyText"/>
      </w:pPr>
      <w:r w:rsidRPr="000F1B7C">
        <w:t>Release 1 - New unit of competency</w:t>
      </w:r>
    </w:p>
    <w:p w:rsidR="00000000" w:rsidRPr="000F1B7C" w:rsidP="000F1B7C">
      <w:pPr>
        <w:pStyle w:val="AllowPageBreak"/>
      </w:pPr>
    </w:p>
    <w:p w:rsidR="00000000" w:rsidRPr="000F1B7C" w:rsidP="000F1B7C">
      <w:pPr>
        <w:pStyle w:val="Heading1"/>
      </w:pPr>
      <w:bookmarkStart w:id="2" w:name="O_798267"/>
      <w:bookmarkEnd w:id="2"/>
      <w:r w:rsidRPr="000F1B7C">
        <w:t>Application</w:t>
      </w:r>
    </w:p>
    <w:p w:rsidR="00000000" w:rsidRPr="000F1B7C" w:rsidP="000F1B7C">
      <w:pPr>
        <w:pStyle w:val="BodyText"/>
      </w:pPr>
      <w:r w:rsidRPr="000F1B7C">
        <w:t>This unit of competency covers</w:t>
      </w:r>
      <w:r w:rsidRPr="000F1B7C">
        <w:t xml:space="preserve"> setting up and operating IGU manufacturing equipment to process two sheets of glass that are separated by a spacer, and sealed to form an airtight unit and conducting associated quality testing.</w:t>
      </w:r>
    </w:p>
    <w:p w:rsidR="00000000" w:rsidRPr="000F1B7C" w:rsidP="000F1B7C">
      <w:pPr>
        <w:pStyle w:val="BodyText"/>
      </w:pPr>
    </w:p>
    <w:p w:rsidR="00000000" w:rsidRPr="000F1B7C" w:rsidP="000F1B7C">
      <w:pPr>
        <w:pStyle w:val="BodyText"/>
      </w:pPr>
      <w:r w:rsidRPr="000F1B7C">
        <w:t>No licensing, legislative or certification requirements app</w:t>
      </w:r>
      <w:r w:rsidRPr="000F1B7C">
        <w:t>ly to this unit at the time of publication.</w:t>
      </w:r>
    </w:p>
    <w:p w:rsidR="00000000" w:rsidRPr="000F1B7C" w:rsidP="000F1B7C">
      <w:pPr>
        <w:pStyle w:val="AllowPageBreak"/>
      </w:pPr>
    </w:p>
    <w:p w:rsidR="00000000" w:rsidRPr="000F1B7C" w:rsidP="000F1B7C">
      <w:pPr>
        <w:pStyle w:val="Heading1"/>
      </w:pPr>
      <w:bookmarkStart w:id="3" w:name="O_798266"/>
      <w:bookmarkEnd w:id="3"/>
      <w:r w:rsidRPr="000F1B7C">
        <w:t>Pre-requisite Unit</w:t>
      </w:r>
    </w:p>
    <w:p w:rsidR="00000000" w:rsidRPr="000F1B7C" w:rsidP="000F1B7C">
      <w:pPr>
        <w:pStyle w:val="Heading1"/>
      </w:pPr>
      <w:bookmarkStart w:id="4" w:name="O_798265"/>
      <w:bookmarkEnd w:id="4"/>
      <w:r w:rsidRPr="000F1B7C">
        <w:t>Competency Field</w:t>
      </w:r>
    </w:p>
    <w:p w:rsidR="00000000" w:rsidRPr="000F1B7C" w:rsidP="000F1B7C">
      <w:pPr>
        <w:pStyle w:val="Heading1"/>
      </w:pPr>
      <w:bookmarkStart w:id="5" w:name="O_798264"/>
      <w:bookmarkEnd w:id="5"/>
      <w:r w:rsidRPr="000F1B7C">
        <w:t>Unit Sector</w:t>
      </w:r>
    </w:p>
    <w:p w:rsidR="00000000" w:rsidRPr="000F1B7C" w:rsidP="000F1B7C">
      <w:pPr>
        <w:pStyle w:val="BodyText"/>
      </w:pPr>
      <w:r w:rsidRPr="000F1B7C">
        <w:t>Glass and Glazing</w:t>
      </w:r>
    </w:p>
    <w:p w:rsidR="00000000" w:rsidRPr="000F1B7C" w:rsidP="000F1B7C">
      <w:pPr>
        <w:pStyle w:val="AllowPageBreak"/>
      </w:pPr>
    </w:p>
    <w:p w:rsidR="00000000" w:rsidRPr="000F1B7C" w:rsidP="000F1B7C">
      <w:pPr>
        <w:pStyle w:val="Heading1"/>
      </w:pPr>
      <w:bookmarkStart w:id="6" w:name="O_798263"/>
      <w:bookmarkEnd w:id="6"/>
      <w:r w:rsidRPr="000F1B7C">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F1B7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Per</w:t>
            </w:r>
            <w:r w:rsidRPr="000F1B7C">
              <w:t>formance criteria describe the performance needed to demonstrate achievement of the element.</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1</w:t>
            </w:r>
          </w:p>
        </w:tc>
        <w:tc>
          <w:tcPr>
            <w:tcW w:w="2185"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Prepare for work</w:t>
            </w: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1.1</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Work requirements are determined from work instructions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1.2</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Work health and safety (WHS) requirements relevant to operating insulating glass equipment, including personal protective equipment, are observed throughout the work</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1.3</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Work sequence is planned in a logical order to suit the job requirements and workpl</w:t>
            </w:r>
            <w:r w:rsidRPr="000F1B7C">
              <w:t>ace procedures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1.4</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Tools, equipment and materials are selected and checked prior to use to ensure they are appropriate for the work, of the required quality, serviceable and in a safe condition</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1.5</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IGU machines, tools and equipment are identified and checked for safe and effective operation, including emergency stops, gauges, guards and controls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1.6</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 xml:space="preserve">Procedures for checking quality of materials and items produced, rating system compliance, working </w:t>
            </w:r>
            <w:r w:rsidRPr="000F1B7C">
              <w:t>condition of equipment, and quality requirements for each stage of the IGU manufacturing process are identified</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1.7</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Communication with others involved with the work is established and maintained to ensure efficient work flow coordination, personnel coop</w:t>
            </w:r>
            <w:r w:rsidRPr="000F1B7C">
              <w:t>eration and safety throughout the insulated glass manufacturing process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2</w:t>
            </w:r>
          </w:p>
        </w:tc>
        <w:tc>
          <w:tcPr>
            <w:tcW w:w="2185"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Set up equipment</w:t>
            </w: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2.1</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Machine settings and adjustments are made in accordance with job requirements and machine and tool manufacturer instructions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2.2</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IGU spacers are cut and sorted into order of run in accordance with workplace procedures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2.3</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The desiccant hygroscopic substance that induces or sustains a state of dryness (desiccation) to be used in process is tested in accordance with industry standa</w:t>
            </w:r>
            <w:r w:rsidRPr="000F1B7C">
              <w:t>rds and workplace practices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2.4</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Trial runs are conducted to check machine operation, accuracy and quality of finished work, and any necessary adjustments made to machine settings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3</w:t>
            </w:r>
          </w:p>
        </w:tc>
        <w:tc>
          <w:tcPr>
            <w:tcW w:w="2185"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Conduct IGU manufacturing operations</w:t>
            </w: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3.1</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Glass sheets are loaded into I</w:t>
            </w:r>
            <w:r w:rsidRPr="000F1B7C">
              <w:t>GU machine using the appropriate mechanical handling equipment</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3.2</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IGU spacers are assembled in accordance with specification/order and workplace procedures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3.3</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IGU machine is operated to wash and dry glass and to press the unit</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3.4</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Unit is unloaded from IGU machine and relocated for sealing using appropriate mechanical handling equipment in accordance with workplace practices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3.5</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Primary and secondary seal equipment is operated in accordance with workplace procedures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3.6</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 xml:space="preserve">Testing for water vapour (dewpoint) and integrity of sealing (moisture) is conducted in accordance with </w:t>
            </w:r>
            <w:r w:rsidRPr="000F1B7C">
              <w:t>workplace procedures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3.7</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Serviceable units are labelled and stored in accordance with industry standards and workplace procedures, with items not mee</w:t>
            </w:r>
            <w:r w:rsidRPr="000F1B7C">
              <w:t>ting quality requirements being discarded or returned for reprocessing in accordance with workplace procedures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4</w:t>
            </w:r>
          </w:p>
        </w:tc>
        <w:tc>
          <w:tcPr>
            <w:tcW w:w="2185"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Complete work and maintain equipment</w:t>
            </w: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4.1</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Work area is cleaned and rubbish disposed of, as appropriate</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4.2</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IGU machine is cleaned and inspec</w:t>
            </w:r>
            <w:r w:rsidRPr="000F1B7C">
              <w:t>ted for serviceability in accordance with workplace procedures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4.3</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Unserviceable equipment is tagged and faults identified in accordance with workplace procedures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4.4</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Equipment and tooling are maintained in accordance with workplace procedures</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4.5</w:t>
            </w:r>
          </w:p>
        </w:tc>
        <w:tc>
          <w:tcPr>
            <w:tcW w:w="5844"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Tools, equipment and unused materials are removed and stored appropriately</w:t>
            </w:r>
          </w:p>
        </w:tc>
      </w:tr>
      <w:tr w:rsidTr="000F1B7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4.6</w:t>
            </w:r>
          </w:p>
        </w:tc>
        <w:tc>
          <w:tcPr>
            <w:tcW w:w="5844" w:type="dxa"/>
            <w:tcBorders>
              <w:top w:val="nil"/>
              <w:left w:val="nil"/>
              <w:bottom w:val="nil"/>
              <w:right w:val="nil"/>
            </w:tcBorders>
            <w:tcMar>
              <w:top w:w="0" w:type="dxa"/>
              <w:left w:w="62" w:type="dxa"/>
              <w:bottom w:w="0" w:type="dxa"/>
              <w:right w:w="62" w:type="dxa"/>
            </w:tcMar>
          </w:tcPr>
          <w:p w:rsidR="00000000" w:rsidRPr="000F1B7C" w:rsidP="000F1B7C">
            <w:pPr>
              <w:pStyle w:val="BodyText"/>
            </w:pPr>
            <w:r w:rsidRPr="000F1B7C">
              <w:t>Documentation is completed in accordance with workplace requirements</w:t>
            </w:r>
          </w:p>
        </w:tc>
      </w:tr>
    </w:tbl>
    <w:p w:rsidR="00000000" w:rsidRPr="000F1B7C" w:rsidP="000F1B7C">
      <w:pPr>
        <w:pStyle w:val="BodyText"/>
      </w:pPr>
    </w:p>
    <w:p w:rsidR="00000000" w:rsidRPr="000F1B7C" w:rsidP="000F1B7C">
      <w:pPr>
        <w:pStyle w:val="AllowPageBreak"/>
      </w:pPr>
    </w:p>
    <w:p w:rsidR="00000000" w:rsidRPr="000F1B7C" w:rsidP="000F1B7C">
      <w:pPr>
        <w:pStyle w:val="Heading1"/>
      </w:pPr>
      <w:bookmarkStart w:id="7" w:name="O_798262"/>
      <w:bookmarkEnd w:id="7"/>
      <w:r w:rsidRPr="000F1B7C">
        <w:t>Foundation Skills</w:t>
      </w:r>
    </w:p>
    <w:p w:rsidR="00000000" w:rsidRPr="000F1B7C" w:rsidP="000F1B7C">
      <w:pPr>
        <w:pStyle w:val="BodyText"/>
      </w:pPr>
      <w:r w:rsidRPr="000F1B7C">
        <w:t>Foundation skills essential to performance are explicit in the perf</w:t>
      </w:r>
      <w:r w:rsidRPr="000F1B7C">
        <w:t>ormance criteria of this unit of competency. Detail on appropriate performance levels for each furnishing unit of competency in reading, writing, oral communication and numeracy utilising the Australian Core Skills Framework (ACSF) are provided in the Furn</w:t>
      </w:r>
      <w:r w:rsidRPr="000F1B7C">
        <w:t>ishing Training Package Implementation Guide.</w:t>
      </w:r>
    </w:p>
    <w:p w:rsidR="00000000" w:rsidRPr="000F1B7C" w:rsidP="000F1B7C">
      <w:pPr>
        <w:pStyle w:val="AllowPageBreak"/>
      </w:pPr>
    </w:p>
    <w:p w:rsidR="00000000" w:rsidRPr="000F1B7C" w:rsidP="000F1B7C">
      <w:pPr>
        <w:pStyle w:val="Heading1"/>
      </w:pPr>
      <w:bookmarkStart w:id="8" w:name="O_798261"/>
      <w:bookmarkEnd w:id="8"/>
      <w:r w:rsidRPr="000F1B7C">
        <w:t>Range of Conditions</w:t>
      </w:r>
    </w:p>
    <w:tbl>
      <w:tblPr>
        <w:tblW w:w="0" w:type="auto"/>
        <w:tblLayout w:type="fixed"/>
        <w:tblCellMar>
          <w:left w:w="62" w:type="dxa"/>
          <w:right w:w="62" w:type="dxa"/>
        </w:tblCellMar>
        <w:tblLook w:val="0000"/>
      </w:tblPr>
      <w:tblGrid>
        <w:gridCol w:w="2760"/>
        <w:gridCol w:w="6312"/>
      </w:tblGrid>
      <w:tr w:rsidTr="000F1B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t xml:space="preserve">Specifies different work environments and conditions that may affect performance. Essential operating conditions that may be present (depending </w:t>
            </w:r>
            <w:r w:rsidRPr="000F1B7C">
              <w:t>on the work situation, needs of the candidate, accessibility of the item, and local industry and regional contexts) are included. Range is restricted to essential operating conditions and any other variables essential to the work environment.</w:t>
            </w:r>
          </w:p>
        </w:tc>
      </w:tr>
      <w:tr w:rsidTr="000F1B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rPr>
                <w:rStyle w:val="SpecialBold"/>
              </w:rPr>
              <w:t>Unit contex</w:t>
            </w:r>
            <w:r w:rsidRPr="000F1B7C">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0F1B7C" w:rsidP="000F1B7C">
            <w:pPr>
              <w:pStyle w:val="ListBullet"/>
            </w:pPr>
            <w:r w:rsidRPr="000F1B7C">
              <w:t xml:space="preserve">WHS requirements, including legislation, building codes, material safety management systems, hazardous and dangerous goods codes, and local safe operating procedures or equivalent </w:t>
            </w:r>
          </w:p>
          <w:p w:rsidR="00000000" w:rsidRPr="000F1B7C" w:rsidP="000F1B7C">
            <w:pPr>
              <w:pStyle w:val="ListBullet"/>
            </w:pPr>
            <w:r w:rsidRPr="000F1B7C">
              <w:t>work is carried out in accordance with legislative obligations</w:t>
            </w:r>
            <w:r w:rsidRPr="000F1B7C">
              <w:t>, environmental legislation, relevant health regulations, manual handling procedures and organisation insurance requirements</w:t>
            </w:r>
          </w:p>
          <w:p w:rsidR="00000000" w:rsidP="000F1B7C">
            <w:pPr>
              <w:pStyle w:val="ListBullet"/>
              <w:rPr>
                <w:lang w:val="en-NZ"/>
              </w:rPr>
            </w:pPr>
            <w:r w:rsidRPr="000F1B7C">
              <w:t xml:space="preserve">work requires individuals to demonstrate some discretion, judgement and problem solving </w:t>
            </w:r>
          </w:p>
        </w:tc>
      </w:tr>
      <w:tr w:rsidTr="000F1B7C">
        <w:tblPrEx>
          <w:tblW w:w="0" w:type="auto"/>
          <w:tblLayout w:type="fixed"/>
          <w:tblCellMar>
            <w:left w:w="62" w:type="dxa"/>
            <w:right w:w="62" w:type="dxa"/>
          </w:tblCellMar>
          <w:tblLook w:val="0000"/>
        </w:tblPrEx>
        <w:trPr>
          <w:trHeight w:val="1571"/>
        </w:trPr>
        <w:tc>
          <w:tcPr>
            <w:tcW w:w="2760"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rPr>
                <w:rStyle w:val="SpecialBold"/>
              </w:rPr>
              <w:t>Work requirements include:</w:t>
            </w:r>
          </w:p>
        </w:tc>
        <w:tc>
          <w:tcPr>
            <w:tcW w:w="6312" w:type="dxa"/>
            <w:tcBorders>
              <w:top w:val="nil"/>
              <w:left w:val="nil"/>
              <w:bottom w:val="nil"/>
              <w:right w:val="nil"/>
            </w:tcBorders>
            <w:tcMar>
              <w:top w:w="0" w:type="dxa"/>
              <w:left w:w="62" w:type="dxa"/>
              <w:bottom w:w="0" w:type="dxa"/>
              <w:right w:w="62" w:type="dxa"/>
            </w:tcMar>
          </w:tcPr>
          <w:p w:rsidR="00000000" w:rsidRPr="000F1B7C" w:rsidP="000F1B7C">
            <w:pPr>
              <w:pStyle w:val="ListBullet"/>
            </w:pPr>
            <w:r w:rsidRPr="000F1B7C">
              <w:t>material to be used</w:t>
            </w:r>
          </w:p>
          <w:p w:rsidR="00000000" w:rsidRPr="000F1B7C" w:rsidP="000F1B7C">
            <w:pPr>
              <w:pStyle w:val="ListBullet"/>
            </w:pPr>
            <w:r w:rsidRPr="000F1B7C">
              <w:t>process required to complete work tasks</w:t>
            </w:r>
          </w:p>
          <w:p w:rsidR="00000000" w:rsidRPr="000F1B7C" w:rsidP="000F1B7C">
            <w:pPr>
              <w:pStyle w:val="ListBullet"/>
            </w:pPr>
            <w:r w:rsidRPr="000F1B7C">
              <w:t>the required size of the units</w:t>
            </w:r>
          </w:p>
          <w:p w:rsidR="00000000" w:rsidP="000F1B7C">
            <w:pPr>
              <w:pStyle w:val="ListBullet"/>
              <w:rPr>
                <w:lang w:val="en-NZ"/>
              </w:rPr>
            </w:pPr>
            <w:r w:rsidRPr="000F1B7C">
              <w:t>number of IGUs required and holding area for completed items</w:t>
            </w:r>
          </w:p>
        </w:tc>
      </w:tr>
      <w:tr w:rsidTr="000F1B7C">
        <w:tblPrEx>
          <w:tblW w:w="0" w:type="auto"/>
          <w:tblLayout w:type="fixed"/>
          <w:tblCellMar>
            <w:left w:w="62" w:type="dxa"/>
            <w:right w:w="62" w:type="dxa"/>
          </w:tblCellMar>
          <w:tblLook w:val="0000"/>
        </w:tblPrEx>
        <w:trPr>
          <w:trHeight w:val="1571"/>
        </w:trPr>
        <w:tc>
          <w:tcPr>
            <w:tcW w:w="2760"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F1B7C" w:rsidP="000F1B7C">
            <w:pPr>
              <w:pStyle w:val="ListBullet"/>
            </w:pPr>
            <w:r w:rsidRPr="000F1B7C">
              <w:t>cutting equipment (e.g. saws)</w:t>
            </w:r>
          </w:p>
          <w:p w:rsidR="00000000" w:rsidRPr="000F1B7C" w:rsidP="000F1B7C">
            <w:pPr>
              <w:pStyle w:val="ListBullet"/>
            </w:pPr>
            <w:r w:rsidRPr="000F1B7C">
              <w:t>spacer preparation equipment (appropriate s</w:t>
            </w:r>
            <w:r w:rsidRPr="000F1B7C">
              <w:t>ize)</w:t>
            </w:r>
          </w:p>
          <w:p w:rsidR="00000000" w:rsidRPr="000F1B7C" w:rsidP="000F1B7C">
            <w:pPr>
              <w:pStyle w:val="ListBullet"/>
            </w:pPr>
            <w:r w:rsidRPr="000F1B7C">
              <w:t>sieve machine and desiccant equipment</w:t>
            </w:r>
          </w:p>
          <w:p w:rsidR="00000000" w:rsidRPr="000F1B7C" w:rsidP="000F1B7C">
            <w:pPr>
              <w:pStyle w:val="ListBullet"/>
            </w:pPr>
            <w:r w:rsidRPr="000F1B7C">
              <w:t>primary seal equipment</w:t>
            </w:r>
          </w:p>
          <w:p w:rsidR="00000000" w:rsidRPr="000F1B7C" w:rsidP="000F1B7C">
            <w:pPr>
              <w:pStyle w:val="ListBullet"/>
            </w:pPr>
            <w:r w:rsidRPr="000F1B7C">
              <w:t>secondary seal equipment</w:t>
            </w:r>
          </w:p>
          <w:p w:rsidR="00000000" w:rsidRPr="000F1B7C" w:rsidP="000F1B7C">
            <w:pPr>
              <w:pStyle w:val="ListBullet"/>
            </w:pPr>
            <w:r w:rsidRPr="000F1B7C">
              <w:t>basic hand tools (e.g. screwdrivers and scrapers)</w:t>
            </w:r>
          </w:p>
          <w:p w:rsidR="00000000" w:rsidP="000F1B7C">
            <w:pPr>
              <w:pStyle w:val="ListBullet"/>
              <w:rPr>
                <w:lang w:val="en-NZ"/>
              </w:rPr>
            </w:pPr>
            <w:r w:rsidRPr="000F1B7C">
              <w:t>mechanical handling equipment</w:t>
            </w:r>
          </w:p>
        </w:tc>
      </w:tr>
      <w:tr w:rsidTr="000F1B7C">
        <w:tblPrEx>
          <w:tblW w:w="0" w:type="auto"/>
          <w:tblLayout w:type="fixed"/>
          <w:tblCellMar>
            <w:left w:w="62" w:type="dxa"/>
            <w:right w:w="62" w:type="dxa"/>
          </w:tblCellMar>
          <w:tblLook w:val="0000"/>
        </w:tblPrEx>
        <w:trPr>
          <w:trHeight w:val="1571"/>
        </w:trPr>
        <w:tc>
          <w:tcPr>
            <w:tcW w:w="2760"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F1B7C" w:rsidP="000F1B7C">
            <w:pPr>
              <w:pStyle w:val="ListBullet"/>
            </w:pPr>
            <w:r w:rsidRPr="000F1B7C">
              <w:t>customer requirements for glass (annealed, toughened or laminated)</w:t>
            </w:r>
          </w:p>
          <w:p w:rsidR="00000000" w:rsidRPr="000F1B7C" w:rsidP="000F1B7C">
            <w:pPr>
              <w:pStyle w:val="ListBullet"/>
            </w:pPr>
            <w:r w:rsidRPr="000F1B7C">
              <w:t>corner keys for spacers</w:t>
            </w:r>
          </w:p>
          <w:p w:rsidR="00000000" w:rsidRPr="000F1B7C" w:rsidP="000F1B7C">
            <w:pPr>
              <w:pStyle w:val="ListBullet"/>
            </w:pPr>
            <w:r w:rsidRPr="000F1B7C">
              <w:t xml:space="preserve">appropriate primary (polyisobutylene) and secondary sealant (polysulphide) </w:t>
            </w:r>
          </w:p>
          <w:p w:rsidR="00000000" w:rsidP="000F1B7C">
            <w:pPr>
              <w:pStyle w:val="ListBullet"/>
              <w:rPr>
                <w:lang w:val="en-NZ"/>
              </w:rPr>
            </w:pPr>
            <w:r w:rsidRPr="000F1B7C">
              <w:t>separation paper</w:t>
            </w:r>
          </w:p>
        </w:tc>
      </w:tr>
      <w:tr w:rsidTr="000F1B7C">
        <w:tblPrEx>
          <w:tblW w:w="0" w:type="auto"/>
          <w:tblLayout w:type="fixed"/>
          <w:tblCellMar>
            <w:left w:w="62" w:type="dxa"/>
            <w:right w:w="62" w:type="dxa"/>
          </w:tblCellMar>
          <w:tblLook w:val="0000"/>
        </w:tblPrEx>
        <w:trPr>
          <w:trHeight w:val="1571"/>
        </w:trPr>
        <w:tc>
          <w:tcPr>
            <w:tcW w:w="2760" w:type="dxa"/>
            <w:tcBorders>
              <w:top w:val="nil"/>
              <w:left w:val="nil"/>
              <w:bottom w:val="nil"/>
              <w:right w:val="nil"/>
            </w:tcBorders>
            <w:tcMar>
              <w:top w:w="0" w:type="dxa"/>
              <w:left w:w="62" w:type="dxa"/>
              <w:bottom w:w="0" w:type="dxa"/>
              <w:right w:w="62" w:type="dxa"/>
            </w:tcMar>
          </w:tcPr>
          <w:p w:rsidR="00000000" w:rsidRPr="000F1B7C" w:rsidP="000F1B7C">
            <w:pPr>
              <w:pStyle w:val="BodyText"/>
            </w:pPr>
            <w:r w:rsidRPr="000F1B7C">
              <w:rPr>
                <w:rStyle w:val="SpecialBold"/>
              </w:rPr>
              <w:t>Personal protective equipment includes:</w:t>
            </w:r>
          </w:p>
          <w:p w:rsidR="00000000" w:rsidP="000F1B7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1B7C" w:rsidP="000F1B7C">
            <w:pPr>
              <w:pStyle w:val="ListBullet"/>
            </w:pPr>
            <w:r w:rsidRPr="000F1B7C">
              <w:t>that prescribed under legisla</w:t>
            </w:r>
            <w:r w:rsidRPr="000F1B7C">
              <w:t>tion, regulation and enterprise policies and practices:</w:t>
            </w:r>
          </w:p>
          <w:p w:rsidR="00000000" w:rsidRPr="000F1B7C" w:rsidP="000F1B7C">
            <w:pPr>
              <w:pStyle w:val="ListBullet2"/>
            </w:pPr>
            <w:r w:rsidRPr="000F1B7C">
              <w:t>gauntlets</w:t>
            </w:r>
          </w:p>
          <w:p w:rsidR="00000000" w:rsidRPr="000F1B7C" w:rsidP="000F1B7C">
            <w:pPr>
              <w:pStyle w:val="ListBullet2"/>
            </w:pPr>
            <w:r w:rsidRPr="000F1B7C">
              <w:t>gloves</w:t>
            </w:r>
          </w:p>
          <w:p w:rsidR="00000000" w:rsidRPr="000F1B7C" w:rsidP="000F1B7C">
            <w:pPr>
              <w:pStyle w:val="ListBullet2"/>
            </w:pPr>
            <w:r w:rsidRPr="000F1B7C">
              <w:t>safety glasses</w:t>
            </w:r>
          </w:p>
          <w:p w:rsidR="00000000" w:rsidRPr="000F1B7C" w:rsidP="000F1B7C">
            <w:pPr>
              <w:pStyle w:val="ListBullet2"/>
            </w:pPr>
            <w:r w:rsidRPr="000F1B7C">
              <w:t xml:space="preserve">hearing protection </w:t>
            </w:r>
          </w:p>
          <w:p w:rsidR="00000000" w:rsidRPr="000F1B7C" w:rsidP="000F1B7C">
            <w:pPr>
              <w:pStyle w:val="ListBullet2"/>
            </w:pPr>
            <w:r w:rsidRPr="000F1B7C">
              <w:t>hard hats</w:t>
            </w:r>
          </w:p>
          <w:p w:rsidR="00000000" w:rsidRPr="000F1B7C" w:rsidP="000F1B7C">
            <w:pPr>
              <w:pStyle w:val="ListBullet2"/>
            </w:pPr>
            <w:r w:rsidRPr="000F1B7C">
              <w:t>safety footwear</w:t>
            </w:r>
          </w:p>
          <w:p w:rsidR="00000000" w:rsidP="000F1B7C">
            <w:pPr>
              <w:pStyle w:val="ListBullet2"/>
              <w:rPr>
                <w:lang w:val="en-NZ"/>
              </w:rPr>
            </w:pPr>
            <w:r w:rsidRPr="000F1B7C">
              <w:t>aprons and overalls</w:t>
            </w:r>
          </w:p>
        </w:tc>
      </w:tr>
      <w:tr w:rsidTr="000F1B7C">
        <w:tblPrEx>
          <w:tblW w:w="0" w:type="auto"/>
          <w:tblLayout w:type="fixed"/>
          <w:tblCellMar>
            <w:left w:w="62" w:type="dxa"/>
            <w:right w:w="62" w:type="dxa"/>
          </w:tblCellMar>
          <w:tblLook w:val="0000"/>
        </w:tblPrEx>
        <w:trPr>
          <w:trHeight w:val="1571"/>
        </w:trPr>
        <w:tc>
          <w:tcPr>
            <w:tcW w:w="2760" w:type="dxa"/>
            <w:tcBorders>
              <w:top w:val="nil"/>
              <w:left w:val="nil"/>
              <w:bottom w:val="nil"/>
              <w:right w:val="nil"/>
            </w:tcBorders>
            <w:tcMar>
              <w:top w:w="0" w:type="dxa"/>
              <w:left w:w="62" w:type="dxa"/>
              <w:bottom w:w="0" w:type="dxa"/>
              <w:right w:w="62" w:type="dxa"/>
            </w:tcMar>
          </w:tcPr>
          <w:p w:rsidR="00000000" w:rsidP="000F1B7C">
            <w:pPr>
              <w:pStyle w:val="BodyText"/>
              <w:rPr>
                <w:lang w:val="en-NZ"/>
              </w:rPr>
            </w:pPr>
            <w:r w:rsidRPr="000F1B7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F1B7C" w:rsidP="000F1B7C">
            <w:pPr>
              <w:pStyle w:val="ListBullet"/>
            </w:pPr>
            <w:r w:rsidRPr="000F1B7C">
              <w:t xml:space="preserve">workplace procedures relating to the use of tools and equipment and personal protective equipment </w:t>
            </w:r>
          </w:p>
          <w:p w:rsidR="00000000" w:rsidRPr="000F1B7C" w:rsidP="000F1B7C">
            <w:pPr>
              <w:pStyle w:val="ListBullet"/>
            </w:pPr>
            <w:r w:rsidRPr="000F1B7C">
              <w:t xml:space="preserve">work instructions, including job sheets, cutting lists, plans, drawings and designs </w:t>
            </w:r>
          </w:p>
          <w:p w:rsidR="00000000" w:rsidRPr="000F1B7C" w:rsidP="000F1B7C">
            <w:pPr>
              <w:pStyle w:val="ListBullet"/>
            </w:pPr>
            <w:r w:rsidRPr="000F1B7C">
              <w:t xml:space="preserve">workplace procedures relating to reporting and communication </w:t>
            </w:r>
          </w:p>
          <w:p w:rsidR="00000000" w:rsidRPr="000F1B7C" w:rsidP="000F1B7C">
            <w:pPr>
              <w:pStyle w:val="ListBullet"/>
            </w:pPr>
            <w:r w:rsidRPr="000F1B7C">
              <w:t>manufacturer specifications and operational procedures</w:t>
            </w:r>
          </w:p>
          <w:p w:rsidR="00000000" w:rsidRPr="000F1B7C" w:rsidP="000F1B7C">
            <w:pPr>
              <w:pStyle w:val="ListBullet"/>
            </w:pPr>
            <w:r w:rsidRPr="000F1B7C">
              <w:t xml:space="preserve">Australian Standards: </w:t>
            </w:r>
          </w:p>
          <w:p w:rsidR="00000000" w:rsidRPr="000F1B7C" w:rsidP="000F1B7C">
            <w:pPr>
              <w:pStyle w:val="ListBullet2"/>
            </w:pPr>
            <w:r w:rsidRPr="000F1B7C">
              <w:t>AS 1288:2006 Glass in buildings - Selection and installation.</w:t>
            </w:r>
          </w:p>
          <w:p w:rsidR="00000000" w:rsidRPr="000F1B7C" w:rsidP="000F1B7C">
            <w:pPr>
              <w:pStyle w:val="ListBullet2"/>
            </w:pPr>
            <w:r w:rsidRPr="000F1B7C">
              <w:t xml:space="preserve">AS/NZS 2208:1996 Safety glazing materials in buildings </w:t>
            </w:r>
          </w:p>
          <w:p w:rsidR="00000000" w:rsidRPr="000F1B7C" w:rsidP="000F1B7C">
            <w:pPr>
              <w:pStyle w:val="ListBullet2"/>
            </w:pPr>
            <w:r w:rsidRPr="000F1B7C">
              <w:t xml:space="preserve">AS/NZS 4666:2012 Insulating glass units </w:t>
            </w:r>
          </w:p>
          <w:p w:rsidR="00000000" w:rsidRPr="000F1B7C" w:rsidP="000F1B7C">
            <w:pPr>
              <w:pStyle w:val="ListBullet2"/>
            </w:pPr>
            <w:r w:rsidRPr="000F1B7C">
              <w:t>AS/NZS 4667:2000 Q</w:t>
            </w:r>
            <w:r w:rsidRPr="000F1B7C">
              <w:t>uality requirements for cut-to-size and processed glass</w:t>
            </w:r>
          </w:p>
          <w:p w:rsidR="00000000" w:rsidRPr="000F1B7C" w:rsidP="000F1B7C">
            <w:pPr>
              <w:pStyle w:val="BodyText"/>
            </w:pPr>
            <w:r w:rsidRPr="000F1B7C">
              <w:t>Note, wherever Australia Standards are listed they apply at the time of publication, but the most current version (including amendments) or replacement versions are to be used.</w:t>
            </w:r>
          </w:p>
        </w:tc>
      </w:tr>
    </w:tbl>
    <w:p w:rsidR="00000000" w:rsidRPr="000F1B7C" w:rsidP="000F1B7C">
      <w:pPr>
        <w:pStyle w:val="BodyText"/>
      </w:pPr>
    </w:p>
    <w:p w:rsidR="00000000" w:rsidRPr="000F1B7C" w:rsidP="000F1B7C">
      <w:pPr>
        <w:pStyle w:val="AllowPageBreak"/>
      </w:pPr>
    </w:p>
    <w:p w:rsidR="00000000" w:rsidRPr="000F1B7C" w:rsidP="000F1B7C">
      <w:pPr>
        <w:pStyle w:val="Heading1"/>
      </w:pPr>
      <w:bookmarkStart w:id="9" w:name="O_798260"/>
      <w:bookmarkEnd w:id="9"/>
      <w:r w:rsidRPr="000F1B7C">
        <w:t>Unit Mapping Information</w:t>
      </w:r>
    </w:p>
    <w:p w:rsidR="00000000" w:rsidRPr="000F1B7C" w:rsidP="000F1B7C">
      <w:pPr>
        <w:pStyle w:val="BodyText"/>
      </w:pPr>
      <w:r w:rsidRPr="000F1B7C">
        <w:t>Supersedes and is equivalent to LMFGG3012C Set up and operate insulated glass unit manufacturing equipment.</w:t>
      </w:r>
    </w:p>
    <w:p w:rsidR="00000000" w:rsidRPr="000F1B7C" w:rsidP="000F1B7C">
      <w:pPr>
        <w:pStyle w:val="AllowPageBreak"/>
      </w:pPr>
    </w:p>
    <w:p w:rsidR="00000000" w:rsidRPr="000F1B7C" w:rsidP="000F1B7C">
      <w:pPr>
        <w:pStyle w:val="Heading1"/>
      </w:pPr>
      <w:bookmarkStart w:id="10" w:name="O_798269"/>
      <w:bookmarkEnd w:id="10"/>
      <w:r w:rsidRPr="000F1B7C">
        <w:t>Links</w:t>
      </w:r>
    </w:p>
    <w:p w:rsidR="00000000" w:rsidRPr="000F1B7C" w:rsidP="000F1B7C">
      <w:pPr>
        <w:pStyle w:val="BodyText"/>
      </w:pPr>
      <w:r w:rsidRPr="000F1B7C">
        <w:t>Companion Volume implementation guides are found in VETNet - https://vetnet.education.gov.au/Pages/T</w:t>
      </w:r>
      <w:r w:rsidRPr="000F1B7C">
        <w:t>rainingDocs.aspx?q=0601ab95-583a-4e93-b2d4-cfb27b03ed73</w:t>
      </w:r>
    </w:p>
    <w:p w:rsidR="00000000" w:rsidRPr="000F1B7C" w:rsidP="000F1B7C"/>
    <w:sectPr w:rsidSect="000F1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B7C" w:rsidRPr="00B44D74" w:rsidP="00B44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D74" w:rsidP="000F1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4D74" w:rsidP="000F1B7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4D74" w:rsidP="000F1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D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B7C" w:rsidRPr="00B44D74" w:rsidP="00B44D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D74" w:rsidRPr="002D2AF8" w:rsidP="000F1B7C">
    <w:pPr>
      <w:pStyle w:val="Header"/>
      <w:framePr w:wrap="around"/>
    </w:pPr>
    <w:r>
      <w:fldChar w:fldCharType="begin"/>
    </w:r>
    <w:r>
      <w:instrText xml:space="preserve"> TITLE   \* MERGEFORMAT </w:instrText>
    </w:r>
    <w:r>
      <w:fldChar w:fldCharType="separate"/>
    </w:r>
    <w:r>
      <w:t>MSFGG3013 Set up and operate insulated glass unit (IGU) manufacturing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44D74" w:rsidP="000F1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066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7E0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B22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B7C"/>
    <w:pPr>
      <w:spacing w:before="360" w:after="60"/>
      <w:outlineLvl w:val="0"/>
    </w:pPr>
    <w:rPr>
      <w:sz w:val="32"/>
    </w:rPr>
  </w:style>
  <w:style w:type="paragraph" w:styleId="Heading2">
    <w:name w:val="heading 2"/>
    <w:basedOn w:val="HeadingBase"/>
    <w:next w:val="BodyText"/>
    <w:link w:val="Heading2Char"/>
    <w:qFormat/>
    <w:rsid w:val="000F1B7C"/>
    <w:pPr>
      <w:keepLines/>
      <w:spacing w:before="240" w:after="120"/>
      <w:outlineLvl w:val="1"/>
    </w:pPr>
    <w:rPr>
      <w:sz w:val="28"/>
      <w:szCs w:val="40"/>
    </w:rPr>
  </w:style>
  <w:style w:type="paragraph" w:styleId="Heading3">
    <w:name w:val="heading 3"/>
    <w:basedOn w:val="HeadingBase"/>
    <w:next w:val="BodyText"/>
    <w:link w:val="Heading3Char"/>
    <w:qFormat/>
    <w:rsid w:val="000F1B7C"/>
    <w:pPr>
      <w:spacing w:before="180" w:after="120"/>
      <w:outlineLvl w:val="2"/>
    </w:pPr>
    <w:rPr>
      <w:spacing w:val="-10"/>
      <w:kern w:val="32"/>
    </w:rPr>
  </w:style>
  <w:style w:type="paragraph" w:styleId="Heading4">
    <w:name w:val="heading 4"/>
    <w:basedOn w:val="HeadingBase"/>
    <w:next w:val="BodyText"/>
    <w:link w:val="Heading4Char"/>
    <w:qFormat/>
    <w:rsid w:val="000F1B7C"/>
    <w:pPr>
      <w:spacing w:before="160" w:after="120"/>
      <w:outlineLvl w:val="3"/>
    </w:pPr>
    <w:rPr>
      <w:sz w:val="22"/>
    </w:rPr>
  </w:style>
  <w:style w:type="paragraph" w:styleId="Heading5">
    <w:name w:val="heading 5"/>
    <w:basedOn w:val="HeadingBase"/>
    <w:next w:val="Normal"/>
    <w:link w:val="Heading5Char"/>
    <w:qFormat/>
    <w:rsid w:val="000F1B7C"/>
    <w:pPr>
      <w:spacing w:before="80"/>
      <w:outlineLvl w:val="4"/>
    </w:pPr>
    <w:rPr>
      <w:color w:val="918585"/>
      <w:sz w:val="20"/>
    </w:rPr>
  </w:style>
  <w:style w:type="paragraph" w:styleId="Heading6">
    <w:name w:val="heading 6"/>
    <w:basedOn w:val="HeadingBase"/>
    <w:next w:val="Normal"/>
    <w:link w:val="Heading6Char"/>
    <w:qFormat/>
    <w:rsid w:val="000F1B7C"/>
    <w:pPr>
      <w:spacing w:before="60"/>
      <w:outlineLvl w:val="5"/>
    </w:pPr>
    <w:rPr>
      <w:color w:val="918585"/>
      <w:sz w:val="20"/>
    </w:rPr>
  </w:style>
  <w:style w:type="paragraph" w:styleId="Heading7">
    <w:name w:val="heading 7"/>
    <w:basedOn w:val="Normal"/>
    <w:next w:val="Normal"/>
    <w:link w:val="Heading7Char"/>
    <w:qFormat/>
    <w:rsid w:val="000F1B7C"/>
    <w:pPr>
      <w:ind w:left="720"/>
      <w:outlineLvl w:val="6"/>
    </w:pPr>
    <w:rPr>
      <w:i/>
    </w:rPr>
  </w:style>
  <w:style w:type="paragraph" w:styleId="Heading8">
    <w:name w:val="heading 8"/>
    <w:basedOn w:val="Normal"/>
    <w:next w:val="Normal"/>
    <w:link w:val="Heading8Char"/>
    <w:qFormat/>
    <w:rsid w:val="000F1B7C"/>
    <w:pPr>
      <w:ind w:left="720"/>
      <w:outlineLvl w:val="7"/>
    </w:pPr>
    <w:rPr>
      <w:i/>
    </w:rPr>
  </w:style>
  <w:style w:type="paragraph" w:styleId="Heading9">
    <w:name w:val="heading 9"/>
    <w:basedOn w:val="Normal"/>
    <w:next w:val="Normal"/>
    <w:link w:val="Heading9Char"/>
    <w:qFormat/>
    <w:rsid w:val="000F1B7C"/>
    <w:pPr>
      <w:ind w:left="720"/>
      <w:outlineLvl w:val="8"/>
    </w:pPr>
    <w:rPr>
      <w:i/>
    </w:rPr>
  </w:style>
  <w:style w:type="character" w:default="1" w:styleId="DefaultParagraphFont">
    <w:name w:val="Default Paragraph Font"/>
    <w:uiPriority w:val="1"/>
    <w:unhideWhenUsed/>
    <w:rsid w:val="000F1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B7C"/>
  </w:style>
  <w:style w:type="character" w:customStyle="1" w:styleId="Heading1Char">
    <w:name w:val="Heading 1 Char"/>
    <w:basedOn w:val="DefaultParagraphFont"/>
    <w:link w:val="Heading1"/>
    <w:rsid w:val="000F1B7C"/>
    <w:rPr>
      <w:rFonts w:ascii="Times New Roman" w:eastAsia="Times New Roman" w:hAnsi="Times New Roman" w:cs="Times New Roman"/>
      <w:b/>
      <w:sz w:val="32"/>
      <w:szCs w:val="20"/>
      <w:lang w:eastAsia="en-US"/>
    </w:rPr>
  </w:style>
  <w:style w:type="paragraph" w:styleId="BodyText">
    <w:name w:val="Body Text"/>
    <w:basedOn w:val="Normal"/>
    <w:link w:val="BodyTextChar"/>
    <w:rsid w:val="000F1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B7C"/>
    <w:rPr>
      <w:rFonts w:ascii="Times New Roman" w:eastAsia="Times New Roman" w:hAnsi="Times New Roman" w:cs="Times New Roman"/>
      <w:sz w:val="24"/>
      <w:lang w:eastAsia="en-US"/>
    </w:rPr>
  </w:style>
  <w:style w:type="paragraph" w:styleId="ListBullet">
    <w:name w:val="List Bullet"/>
    <w:basedOn w:val="List"/>
    <w:rsid w:val="000F1B7C"/>
    <w:pPr>
      <w:numPr>
        <w:numId w:val="13"/>
      </w:numPr>
      <w:tabs>
        <w:tab w:val="clear" w:pos="340"/>
      </w:tabs>
      <w:spacing w:before="40" w:after="40"/>
    </w:pPr>
  </w:style>
  <w:style w:type="character" w:customStyle="1" w:styleId="SpecialBold">
    <w:name w:val="Special Bold"/>
    <w:basedOn w:val="DefaultParagraphFont"/>
    <w:rsid w:val="000F1B7C"/>
    <w:rPr>
      <w:b/>
      <w:spacing w:val="0"/>
    </w:rPr>
  </w:style>
  <w:style w:type="paragraph" w:styleId="ListBullet2">
    <w:name w:val="List Bullet 2"/>
    <w:basedOn w:val="List2"/>
    <w:rsid w:val="000F1B7C"/>
    <w:pPr>
      <w:numPr>
        <w:numId w:val="14"/>
      </w:numPr>
      <w:tabs>
        <w:tab w:val="clear" w:pos="680"/>
      </w:tabs>
    </w:pPr>
  </w:style>
  <w:style w:type="paragraph" w:customStyle="1" w:styleId="SuperHeading">
    <w:name w:val="SuperHeading"/>
    <w:basedOn w:val="Normal"/>
    <w:rsid w:val="000F1B7C"/>
    <w:pPr>
      <w:spacing w:before="240" w:after="120"/>
      <w:outlineLvl w:val="0"/>
    </w:pPr>
    <w:rPr>
      <w:rFonts w:ascii="Times New Roman" w:hAnsi="Times New Roman"/>
      <w:b/>
      <w:sz w:val="32"/>
    </w:rPr>
  </w:style>
  <w:style w:type="paragraph" w:customStyle="1" w:styleId="AllowPageBreak">
    <w:name w:val="AllowPageBreak"/>
    <w:rsid w:val="000F1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B7C"/>
    <w:rPr>
      <w:rFonts w:ascii="Courier New" w:eastAsia="Times New Roman" w:hAnsi="Courier New" w:cs="Times New Roman"/>
      <w:i/>
      <w:szCs w:val="20"/>
      <w:lang w:eastAsia="en-US"/>
    </w:rPr>
  </w:style>
  <w:style w:type="paragraph" w:customStyle="1" w:styleId="HeadingBase">
    <w:name w:val="Heading Base"/>
    <w:rsid w:val="000F1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B7C"/>
    <w:pPr>
      <w:tabs>
        <w:tab w:val="right" w:leader="dot" w:pos="9072"/>
      </w:tabs>
      <w:ind w:left="567"/>
    </w:pPr>
    <w:rPr>
      <w:szCs w:val="22"/>
    </w:rPr>
  </w:style>
  <w:style w:type="paragraph" w:customStyle="1" w:styleId="TOCBase">
    <w:name w:val="TOC Base"/>
    <w:rsid w:val="000F1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B7C"/>
    <w:pPr>
      <w:tabs>
        <w:tab w:val="right" w:leader="dot" w:pos="9072"/>
      </w:tabs>
      <w:spacing w:before="40" w:after="40"/>
      <w:ind w:left="284"/>
    </w:pPr>
    <w:rPr>
      <w:rFonts w:ascii="Times New Roman" w:hAnsi="Times New Roman"/>
    </w:rPr>
  </w:style>
  <w:style w:type="paragraph" w:styleId="TOC1">
    <w:name w:val="toc 1"/>
    <w:basedOn w:val="TOCBase"/>
    <w:next w:val="Normal"/>
    <w:rsid w:val="000F1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B7C"/>
    <w:rPr>
      <w:rFonts w:ascii="Times New Roman" w:eastAsia="Times New Roman" w:hAnsi="Times New Roman" w:cs="Times New Roman"/>
      <w:sz w:val="16"/>
      <w:lang w:eastAsia="en-US"/>
    </w:rPr>
  </w:style>
  <w:style w:type="paragraph" w:styleId="Title">
    <w:name w:val="Title"/>
    <w:basedOn w:val="HeadingBase"/>
    <w:link w:val="TitleChar"/>
    <w:qFormat/>
    <w:rsid w:val="000F1B7C"/>
    <w:pPr>
      <w:spacing w:before="5040"/>
      <w:jc w:val="center"/>
    </w:pPr>
    <w:rPr>
      <w:sz w:val="48"/>
      <w:szCs w:val="72"/>
      <w:lang w:val="en-US"/>
    </w:rPr>
  </w:style>
  <w:style w:type="character" w:customStyle="1" w:styleId="TitleChar">
    <w:name w:val="Title Char"/>
    <w:basedOn w:val="DefaultParagraphFont"/>
    <w:link w:val="Title"/>
    <w:rsid w:val="000F1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B7C"/>
    <w:pPr>
      <w:tabs>
        <w:tab w:val="left" w:pos="3600"/>
        <w:tab w:val="left" w:pos="3958"/>
      </w:tabs>
    </w:pPr>
  </w:style>
  <w:style w:type="paragraph" w:styleId="List">
    <w:name w:val="List"/>
    <w:basedOn w:val="BodyText"/>
    <w:next w:val="BodyText"/>
    <w:rsid w:val="000F1B7C"/>
    <w:pPr>
      <w:tabs>
        <w:tab w:val="left" w:pos="340"/>
      </w:tabs>
      <w:spacing w:before="60" w:after="60"/>
      <w:ind w:left="340" w:hanging="340"/>
    </w:pPr>
  </w:style>
  <w:style w:type="paragraph" w:customStyle="1" w:styleId="Note">
    <w:name w:val="Note"/>
    <w:basedOn w:val="BodyText"/>
    <w:rsid w:val="000F1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B7C"/>
    <w:pPr>
      <w:framePr w:wrap="auto" w:hAnchor="text" w:y="6049"/>
    </w:pPr>
    <w:rPr>
      <w:color w:val="000000"/>
      <w:sz w:val="40"/>
    </w:rPr>
  </w:style>
  <w:style w:type="paragraph" w:customStyle="1" w:styleId="TOCTitle">
    <w:name w:val="TOCTitle"/>
    <w:basedOn w:val="Heading1"/>
    <w:rsid w:val="000F1B7C"/>
    <w:pPr>
      <w:spacing w:after="240"/>
      <w:jc w:val="center"/>
      <w:outlineLvl w:val="9"/>
    </w:pPr>
    <w:rPr>
      <w:caps/>
    </w:rPr>
  </w:style>
  <w:style w:type="paragraph" w:customStyle="1" w:styleId="Version">
    <w:name w:val="Version"/>
    <w:rsid w:val="000F1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B7C"/>
    <w:pPr>
      <w:keepNext w:val="0"/>
      <w:tabs>
        <w:tab w:val="right" w:pos="4176"/>
      </w:tabs>
      <w:ind w:left="198" w:hanging="198"/>
    </w:pPr>
    <w:rPr>
      <w:rFonts w:ascii="Garamond" w:hAnsi="Garamond"/>
    </w:rPr>
  </w:style>
  <w:style w:type="paragraph" w:styleId="IndexHeading">
    <w:name w:val="index heading"/>
    <w:basedOn w:val="Normal"/>
    <w:next w:val="Index1"/>
    <w:semiHidden/>
    <w:rsid w:val="000F1B7C"/>
    <w:pPr>
      <w:spacing w:before="120" w:after="120"/>
    </w:pPr>
    <w:rPr>
      <w:rFonts w:ascii="Arial" w:hAnsi="Arial"/>
      <w:b/>
      <w:color w:val="918585"/>
      <w:sz w:val="24"/>
    </w:rPr>
  </w:style>
  <w:style w:type="paragraph" w:styleId="Header">
    <w:name w:val="header"/>
    <w:basedOn w:val="Normal"/>
    <w:link w:val="HeaderChar"/>
    <w:rsid w:val="000F1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B7C"/>
    <w:rPr>
      <w:rFonts w:ascii="Times New Roman" w:eastAsia="Times New Roman" w:hAnsi="Times New Roman" w:cs="Times New Roman"/>
      <w:sz w:val="16"/>
      <w:szCs w:val="20"/>
      <w:lang w:val="en-GB" w:eastAsia="en-US"/>
    </w:rPr>
  </w:style>
  <w:style w:type="paragraph" w:customStyle="1" w:styleId="Chapter">
    <w:name w:val="Chapter"/>
    <w:basedOn w:val="Normal"/>
    <w:rsid w:val="000F1B7C"/>
    <w:pPr>
      <w:spacing w:before="240"/>
    </w:pPr>
    <w:rPr>
      <w:rFonts w:ascii="Times New Roman" w:hAnsi="Times New Roman"/>
      <w:smallCaps/>
      <w:spacing w:val="80"/>
      <w:sz w:val="28"/>
    </w:rPr>
  </w:style>
  <w:style w:type="paragraph" w:customStyle="1" w:styleId="InChapter">
    <w:name w:val="InChapter"/>
    <w:basedOn w:val="Heading3"/>
    <w:rsid w:val="000F1B7C"/>
    <w:pPr>
      <w:spacing w:after="240"/>
      <w:outlineLvl w:val="9"/>
    </w:pPr>
    <w:rPr>
      <w:noProof/>
    </w:rPr>
  </w:style>
  <w:style w:type="paragraph" w:styleId="Index2">
    <w:name w:val="index 2"/>
    <w:basedOn w:val="Normal"/>
    <w:next w:val="Normal"/>
    <w:semiHidden/>
    <w:rsid w:val="000F1B7C"/>
    <w:pPr>
      <w:tabs>
        <w:tab w:val="right" w:pos="4176"/>
      </w:tabs>
      <w:ind w:left="568" w:hanging="284"/>
    </w:pPr>
    <w:rPr>
      <w:rFonts w:ascii="Garamond" w:hAnsi="Garamond"/>
    </w:rPr>
  </w:style>
  <w:style w:type="paragraph" w:customStyle="1" w:styleId="Byline">
    <w:name w:val="Byline"/>
    <w:rsid w:val="000F1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B7C"/>
    <w:pPr>
      <w:tabs>
        <w:tab w:val="clear" w:pos="3600"/>
        <w:tab w:val="clear" w:pos="3958"/>
      </w:tabs>
      <w:jc w:val="right"/>
    </w:pPr>
  </w:style>
  <w:style w:type="character" w:styleId="Emphasis">
    <w:name w:val="Emphasis"/>
    <w:basedOn w:val="DefaultParagraphFont"/>
    <w:qFormat/>
    <w:rsid w:val="000F1B7C"/>
    <w:rPr>
      <w:i/>
    </w:rPr>
  </w:style>
  <w:style w:type="paragraph" w:styleId="Caption">
    <w:name w:val="caption"/>
    <w:basedOn w:val="BodyText"/>
    <w:next w:val="Normal"/>
    <w:qFormat/>
    <w:rsid w:val="000F1B7C"/>
    <w:pPr>
      <w:framePr w:w="2268" w:hSpace="181" w:vSpace="181" w:wrap="around" w:vAnchor="text" w:hAnchor="page" w:x="1135" w:y="285" w:anchorLock="1"/>
    </w:pPr>
    <w:rPr>
      <w:i/>
    </w:rPr>
  </w:style>
  <w:style w:type="paragraph" w:customStyle="1" w:styleId="MiniTOCTitle">
    <w:name w:val="MiniTOCTitle"/>
    <w:basedOn w:val="Heading4"/>
    <w:rsid w:val="000F1B7C"/>
    <w:pPr>
      <w:spacing w:before="240"/>
      <w:outlineLvl w:val="9"/>
    </w:pPr>
    <w:rPr>
      <w:noProof/>
      <w:sz w:val="24"/>
    </w:rPr>
  </w:style>
  <w:style w:type="paragraph" w:customStyle="1" w:styleId="MiniTOCItem">
    <w:name w:val="MiniTOCItem"/>
    <w:basedOn w:val="ListBullet"/>
    <w:rsid w:val="000F1B7C"/>
    <w:pPr>
      <w:numPr>
        <w:numId w:val="0"/>
      </w:numPr>
      <w:tabs>
        <w:tab w:val="right" w:leader="dot" w:pos="6521"/>
      </w:tabs>
      <w:spacing w:before="0" w:after="0"/>
    </w:pPr>
  </w:style>
  <w:style w:type="paragraph" w:customStyle="1" w:styleId="TOFTitle">
    <w:name w:val="TOFTitle"/>
    <w:basedOn w:val="TOCTitle"/>
    <w:rsid w:val="000F1B7C"/>
  </w:style>
  <w:style w:type="paragraph" w:styleId="TableofFigures">
    <w:name w:val="table of figures"/>
    <w:basedOn w:val="Normal"/>
    <w:next w:val="Normal"/>
    <w:semiHidden/>
    <w:rsid w:val="000F1B7C"/>
    <w:pPr>
      <w:tabs>
        <w:tab w:val="right" w:leader="dot" w:pos="9072"/>
      </w:tabs>
      <w:ind w:left="970" w:hanging="403"/>
    </w:pPr>
    <w:rPr>
      <w:rFonts w:ascii="Times New Roman" w:hAnsi="Times New Roman"/>
      <w:b/>
    </w:rPr>
  </w:style>
  <w:style w:type="paragraph" w:styleId="ListNumber">
    <w:name w:val="List Number"/>
    <w:basedOn w:val="List"/>
    <w:rsid w:val="000F1B7C"/>
    <w:pPr>
      <w:numPr>
        <w:numId w:val="11"/>
      </w:numPr>
    </w:pPr>
  </w:style>
  <w:style w:type="character" w:customStyle="1" w:styleId="WingdingSymbols">
    <w:name w:val="Wingding Symbols"/>
    <w:rsid w:val="000F1B7C"/>
    <w:rPr>
      <w:rFonts w:ascii="Wingdings" w:hAnsi="Wingdings"/>
    </w:rPr>
  </w:style>
  <w:style w:type="paragraph" w:customStyle="1" w:styleId="TableHeading">
    <w:name w:val="Table Heading"/>
    <w:basedOn w:val="HeadingBase"/>
    <w:rsid w:val="000F1B7C"/>
    <w:pPr>
      <w:keepLines/>
      <w:pBdr>
        <w:bottom w:val="single" w:sz="6" w:space="1" w:color="918585"/>
      </w:pBdr>
      <w:spacing w:before="240"/>
    </w:pPr>
  </w:style>
  <w:style w:type="character" w:customStyle="1" w:styleId="HotSpot">
    <w:name w:val="HotSpot"/>
    <w:rsid w:val="000F1B7C"/>
    <w:rPr>
      <w:color w:val="0033CC"/>
      <w:u w:val="none"/>
    </w:rPr>
  </w:style>
  <w:style w:type="paragraph" w:customStyle="1" w:styleId="BodyTextRight">
    <w:name w:val="Body Text Right"/>
    <w:basedOn w:val="BodyText"/>
    <w:rsid w:val="000F1B7C"/>
    <w:pPr>
      <w:spacing w:before="0" w:after="0"/>
      <w:jc w:val="right"/>
    </w:pPr>
  </w:style>
  <w:style w:type="paragraph" w:styleId="Index3">
    <w:name w:val="index 3"/>
    <w:basedOn w:val="ListNumber2"/>
    <w:next w:val="Normal"/>
    <w:semiHidden/>
    <w:rsid w:val="000F1B7C"/>
    <w:pPr>
      <w:numPr>
        <w:numId w:val="0"/>
      </w:numPr>
      <w:tabs>
        <w:tab w:val="right" w:leader="dot" w:pos="4176"/>
      </w:tabs>
    </w:pPr>
  </w:style>
  <w:style w:type="paragraph" w:styleId="ListNumber2">
    <w:name w:val="List Number 2"/>
    <w:basedOn w:val="List2"/>
    <w:rsid w:val="000F1B7C"/>
    <w:pPr>
      <w:numPr>
        <w:numId w:val="10"/>
      </w:numPr>
      <w:tabs>
        <w:tab w:val="clear" w:pos="1060"/>
      </w:tabs>
    </w:pPr>
  </w:style>
  <w:style w:type="paragraph" w:customStyle="1" w:styleId="MarginNote">
    <w:name w:val="Margin Note"/>
    <w:basedOn w:val="BodyText"/>
    <w:rsid w:val="000F1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B7C"/>
    <w:rPr>
      <w:sz w:val="32"/>
    </w:rPr>
  </w:style>
  <w:style w:type="paragraph" w:customStyle="1" w:styleId="HeadingProcedure">
    <w:name w:val="Heading Procedure"/>
    <w:basedOn w:val="HeadingBase"/>
    <w:next w:val="Normal"/>
    <w:rsid w:val="000F1B7C"/>
    <w:pPr>
      <w:tabs>
        <w:tab w:val="left" w:pos="0"/>
      </w:tabs>
      <w:spacing w:before="120" w:after="60"/>
    </w:pPr>
    <w:rPr>
      <w:i/>
      <w:color w:val="918585"/>
      <w:sz w:val="22"/>
    </w:rPr>
  </w:style>
  <w:style w:type="paragraph" w:customStyle="1" w:styleId="TableBodyText">
    <w:name w:val="Table Body Text"/>
    <w:basedOn w:val="BodyText"/>
    <w:rsid w:val="000F1B7C"/>
    <w:pPr>
      <w:spacing w:before="60" w:after="60"/>
    </w:pPr>
  </w:style>
  <w:style w:type="paragraph" w:styleId="ListContinue">
    <w:name w:val="List Continue"/>
    <w:basedOn w:val="List"/>
    <w:rsid w:val="000F1B7C"/>
    <w:pPr>
      <w:ind w:firstLine="0"/>
    </w:pPr>
  </w:style>
  <w:style w:type="paragraph" w:customStyle="1" w:styleId="ListNote">
    <w:name w:val="List Note"/>
    <w:basedOn w:val="List"/>
    <w:rsid w:val="000F1B7C"/>
    <w:pPr>
      <w:pBdr>
        <w:top w:val="single" w:sz="6" w:space="2" w:color="918585"/>
        <w:bottom w:val="single" w:sz="6" w:space="2" w:color="918585"/>
      </w:pBdr>
      <w:tabs>
        <w:tab w:val="left" w:pos="1021"/>
      </w:tabs>
      <w:ind w:firstLine="0"/>
    </w:pPr>
  </w:style>
  <w:style w:type="paragraph" w:customStyle="1" w:styleId="Warning">
    <w:name w:val="Warning"/>
    <w:basedOn w:val="BodyText"/>
    <w:rsid w:val="000F1B7C"/>
    <w:pPr>
      <w:shd w:val="clear" w:color="auto" w:fill="D9D9D9"/>
      <w:tabs>
        <w:tab w:val="left" w:pos="992"/>
      </w:tabs>
      <w:ind w:left="119" w:right="119"/>
    </w:pPr>
    <w:rPr>
      <w:sz w:val="20"/>
    </w:rPr>
  </w:style>
  <w:style w:type="paragraph" w:customStyle="1" w:styleId="MarginIcons">
    <w:name w:val="Margin Icons"/>
    <w:basedOn w:val="BodyText"/>
    <w:rsid w:val="000F1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B7C"/>
    <w:rPr>
      <w:rFonts w:ascii="Courier New" w:hAnsi="Courier New"/>
    </w:rPr>
  </w:style>
  <w:style w:type="paragraph" w:customStyle="1" w:styleId="NoteBullet">
    <w:name w:val="Note Bullet"/>
    <w:basedOn w:val="Note"/>
    <w:rsid w:val="000F1B7C"/>
    <w:pPr>
      <w:tabs>
        <w:tab w:val="clear" w:pos="680"/>
      </w:tabs>
      <w:spacing w:before="60" w:after="60"/>
    </w:pPr>
  </w:style>
  <w:style w:type="paragraph" w:customStyle="1" w:styleId="SubHeading2">
    <w:name w:val="SubHeading2"/>
    <w:basedOn w:val="HeadingBase"/>
    <w:rsid w:val="000F1B7C"/>
    <w:pPr>
      <w:spacing w:before="240" w:after="60"/>
    </w:pPr>
    <w:rPr>
      <w:sz w:val="20"/>
    </w:rPr>
  </w:style>
  <w:style w:type="paragraph" w:customStyle="1" w:styleId="SubHeading1">
    <w:name w:val="SubHeading1"/>
    <w:basedOn w:val="HeadingBase"/>
    <w:rsid w:val="000F1B7C"/>
    <w:pPr>
      <w:spacing w:before="240" w:after="60"/>
    </w:pPr>
    <w:rPr>
      <w:color w:val="918585"/>
      <w:sz w:val="22"/>
    </w:rPr>
  </w:style>
  <w:style w:type="paragraph" w:customStyle="1" w:styleId="SideHeading">
    <w:name w:val="Side Heading"/>
    <w:basedOn w:val="HeadingBase"/>
    <w:rsid w:val="000F1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B7C"/>
    <w:pPr>
      <w:numPr>
        <w:numId w:val="12"/>
      </w:numPr>
    </w:pPr>
  </w:style>
  <w:style w:type="paragraph" w:styleId="PlainText">
    <w:name w:val="Plain Text"/>
    <w:basedOn w:val="Normal"/>
    <w:link w:val="PlainTextChar"/>
    <w:rsid w:val="000F1B7C"/>
    <w:rPr>
      <w:sz w:val="20"/>
    </w:rPr>
  </w:style>
  <w:style w:type="character" w:customStyle="1" w:styleId="PlainTextChar">
    <w:name w:val="Plain Text Char"/>
    <w:basedOn w:val="DefaultParagraphFont"/>
    <w:link w:val="PlainText"/>
    <w:rsid w:val="000F1B7C"/>
    <w:rPr>
      <w:rFonts w:ascii="Courier New" w:eastAsia="Times New Roman" w:hAnsi="Courier New" w:cs="Times New Roman"/>
      <w:sz w:val="20"/>
      <w:szCs w:val="20"/>
      <w:lang w:eastAsia="en-US"/>
    </w:rPr>
  </w:style>
  <w:style w:type="character" w:customStyle="1" w:styleId="MenuOption">
    <w:name w:val="Menu Option"/>
    <w:basedOn w:val="DefaultParagraphFont"/>
    <w:rsid w:val="000F1B7C"/>
    <w:rPr>
      <w:b/>
      <w:smallCaps/>
    </w:rPr>
  </w:style>
  <w:style w:type="paragraph" w:customStyle="1" w:styleId="TableListNumber">
    <w:name w:val="Table List Number"/>
    <w:basedOn w:val="ListNumber"/>
    <w:rsid w:val="000F1B7C"/>
    <w:pPr>
      <w:numPr>
        <w:numId w:val="0"/>
      </w:numPr>
    </w:pPr>
  </w:style>
  <w:style w:type="paragraph" w:styleId="TOC4">
    <w:name w:val="toc 4"/>
    <w:basedOn w:val="TOCBase"/>
    <w:next w:val="Normal"/>
    <w:semiHidden/>
    <w:rsid w:val="000F1B7C"/>
    <w:pPr>
      <w:tabs>
        <w:tab w:val="right" w:leader="dot" w:pos="9071"/>
      </w:tabs>
      <w:ind w:left="1701"/>
    </w:pPr>
  </w:style>
  <w:style w:type="paragraph" w:customStyle="1" w:styleId="ListAlpha">
    <w:name w:val="List Alpha"/>
    <w:basedOn w:val="List"/>
    <w:rsid w:val="000F1B7C"/>
    <w:pPr>
      <w:numPr>
        <w:numId w:val="9"/>
      </w:numPr>
    </w:pPr>
  </w:style>
  <w:style w:type="paragraph" w:customStyle="1" w:styleId="ListAlpha2">
    <w:name w:val="List Alpha 2"/>
    <w:basedOn w:val="List2"/>
    <w:rsid w:val="000F1B7C"/>
    <w:pPr>
      <w:numPr>
        <w:numId w:val="8"/>
      </w:numPr>
    </w:pPr>
  </w:style>
  <w:style w:type="paragraph" w:styleId="List2">
    <w:name w:val="List 2"/>
    <w:basedOn w:val="BodyText"/>
    <w:rsid w:val="000F1B7C"/>
    <w:pPr>
      <w:tabs>
        <w:tab w:val="left" w:pos="680"/>
      </w:tabs>
      <w:spacing w:before="60" w:after="60"/>
      <w:ind w:left="680" w:hanging="340"/>
    </w:pPr>
  </w:style>
  <w:style w:type="paragraph" w:styleId="List3">
    <w:name w:val="List 3"/>
    <w:basedOn w:val="BodyText"/>
    <w:rsid w:val="000F1B7C"/>
    <w:pPr>
      <w:tabs>
        <w:tab w:val="left" w:pos="1021"/>
      </w:tabs>
      <w:spacing w:before="60" w:after="60"/>
      <w:ind w:left="1020" w:hanging="340"/>
    </w:pPr>
  </w:style>
  <w:style w:type="paragraph" w:styleId="List4">
    <w:name w:val="List 4"/>
    <w:basedOn w:val="BodyText"/>
    <w:rsid w:val="000F1B7C"/>
    <w:pPr>
      <w:tabs>
        <w:tab w:val="left" w:pos="1361"/>
      </w:tabs>
      <w:spacing w:before="60" w:after="60"/>
      <w:ind w:left="1361" w:hanging="340"/>
    </w:pPr>
  </w:style>
  <w:style w:type="paragraph" w:styleId="List5">
    <w:name w:val="List 5"/>
    <w:basedOn w:val="BodyText"/>
    <w:rsid w:val="000F1B7C"/>
    <w:pPr>
      <w:tabs>
        <w:tab w:val="left" w:pos="1701"/>
      </w:tabs>
      <w:spacing w:before="60" w:after="60"/>
      <w:ind w:left="1701" w:hanging="340"/>
    </w:pPr>
  </w:style>
  <w:style w:type="paragraph" w:styleId="ListBullet3">
    <w:name w:val="List Bullet 3"/>
    <w:basedOn w:val="List3"/>
    <w:rsid w:val="000F1B7C"/>
    <w:pPr>
      <w:numPr>
        <w:numId w:val="15"/>
      </w:numPr>
      <w:tabs>
        <w:tab w:val="clear" w:pos="1021"/>
      </w:tabs>
      <w:ind w:left="1037" w:hanging="357"/>
    </w:pPr>
  </w:style>
  <w:style w:type="paragraph" w:styleId="ListBullet4">
    <w:name w:val="List Bullet 4"/>
    <w:basedOn w:val="List4"/>
    <w:rsid w:val="000F1B7C"/>
    <w:pPr>
      <w:numPr>
        <w:numId w:val="3"/>
      </w:numPr>
      <w:tabs>
        <w:tab w:val="clear" w:pos="1361"/>
      </w:tabs>
    </w:pPr>
  </w:style>
  <w:style w:type="paragraph" w:styleId="ListBullet5">
    <w:name w:val="List Bullet 5"/>
    <w:basedOn w:val="List5"/>
    <w:rsid w:val="000F1B7C"/>
    <w:pPr>
      <w:numPr>
        <w:numId w:val="4"/>
      </w:numPr>
    </w:pPr>
  </w:style>
  <w:style w:type="paragraph" w:styleId="ListContinue2">
    <w:name w:val="List Continue 2"/>
    <w:basedOn w:val="List2"/>
    <w:rsid w:val="000F1B7C"/>
    <w:pPr>
      <w:ind w:firstLine="0"/>
    </w:pPr>
  </w:style>
  <w:style w:type="paragraph" w:styleId="ListContinue3">
    <w:name w:val="List Continue 3"/>
    <w:basedOn w:val="List3"/>
    <w:rsid w:val="000F1B7C"/>
    <w:pPr>
      <w:ind w:left="1021" w:firstLine="0"/>
    </w:pPr>
  </w:style>
  <w:style w:type="paragraph" w:styleId="ListContinue4">
    <w:name w:val="List Continue 4"/>
    <w:basedOn w:val="List4"/>
    <w:rsid w:val="000F1B7C"/>
    <w:pPr>
      <w:ind w:firstLine="0"/>
    </w:pPr>
  </w:style>
  <w:style w:type="paragraph" w:styleId="ListContinue5">
    <w:name w:val="List Continue 5"/>
    <w:basedOn w:val="List5"/>
    <w:rsid w:val="000F1B7C"/>
    <w:pPr>
      <w:ind w:firstLine="0"/>
    </w:pPr>
  </w:style>
  <w:style w:type="paragraph" w:styleId="ListNumber3">
    <w:name w:val="List Number 3"/>
    <w:basedOn w:val="List3"/>
    <w:rsid w:val="000F1B7C"/>
    <w:pPr>
      <w:numPr>
        <w:numId w:val="5"/>
      </w:numPr>
    </w:pPr>
  </w:style>
  <w:style w:type="paragraph" w:styleId="ListNumber4">
    <w:name w:val="List Number 4"/>
    <w:basedOn w:val="List4"/>
    <w:rsid w:val="000F1B7C"/>
    <w:pPr>
      <w:numPr>
        <w:numId w:val="6"/>
      </w:numPr>
    </w:pPr>
  </w:style>
  <w:style w:type="paragraph" w:styleId="ListNumber5">
    <w:name w:val="List Number 5"/>
    <w:basedOn w:val="List5"/>
    <w:rsid w:val="000F1B7C"/>
    <w:pPr>
      <w:numPr>
        <w:numId w:val="7"/>
      </w:numPr>
    </w:pPr>
  </w:style>
  <w:style w:type="paragraph" w:styleId="BlockText">
    <w:name w:val="Block Text"/>
    <w:basedOn w:val="Normal"/>
    <w:rsid w:val="000F1B7C"/>
    <w:pPr>
      <w:spacing w:after="120"/>
      <w:ind w:left="1440" w:right="1440"/>
    </w:pPr>
  </w:style>
  <w:style w:type="character" w:customStyle="1" w:styleId="Subscript">
    <w:name w:val="Subscript"/>
    <w:basedOn w:val="DefaultParagraphFont"/>
    <w:rsid w:val="000F1B7C"/>
    <w:rPr>
      <w:sz w:val="16"/>
      <w:vertAlign w:val="subscript"/>
    </w:rPr>
  </w:style>
  <w:style w:type="character" w:customStyle="1" w:styleId="Superscript">
    <w:name w:val="Superscript"/>
    <w:basedOn w:val="DefaultParagraphFont"/>
    <w:rsid w:val="000F1B7C"/>
    <w:rPr>
      <w:sz w:val="16"/>
      <w:vertAlign w:val="superscript"/>
    </w:rPr>
  </w:style>
  <w:style w:type="character" w:customStyle="1" w:styleId="Symbols">
    <w:name w:val="Symbols"/>
    <w:basedOn w:val="DefaultParagraphFont"/>
    <w:rsid w:val="000F1B7C"/>
    <w:rPr>
      <w:rFonts w:ascii="Symbol" w:hAnsi="Symbol"/>
    </w:rPr>
  </w:style>
  <w:style w:type="character" w:customStyle="1" w:styleId="MenuOptions">
    <w:name w:val="Menu Options"/>
    <w:basedOn w:val="DefaultParagraphFont"/>
    <w:rsid w:val="000F1B7C"/>
    <w:rPr>
      <w:rFonts w:ascii="Arial Narrow" w:hAnsi="Arial Narrow"/>
      <w:smallCaps/>
    </w:rPr>
  </w:style>
  <w:style w:type="character" w:customStyle="1" w:styleId="Buttons">
    <w:name w:val="Buttons"/>
    <w:basedOn w:val="DefaultParagraphFont"/>
    <w:rsid w:val="000F1B7C"/>
    <w:rPr>
      <w:b/>
    </w:rPr>
  </w:style>
  <w:style w:type="character" w:customStyle="1" w:styleId="Underlined">
    <w:name w:val="Underlined"/>
    <w:basedOn w:val="DefaultParagraphFont"/>
    <w:rsid w:val="000F1B7C"/>
    <w:rPr>
      <w:u w:val="single"/>
    </w:rPr>
  </w:style>
  <w:style w:type="paragraph" w:customStyle="1" w:styleId="TableBodyTextRight">
    <w:name w:val="Table Body Text Right"/>
    <w:basedOn w:val="TableBodyText"/>
    <w:rsid w:val="000F1B7C"/>
    <w:pPr>
      <w:widowControl w:val="0"/>
      <w:autoSpaceDE w:val="0"/>
      <w:autoSpaceDN w:val="0"/>
      <w:adjustRightInd w:val="0"/>
      <w:jc w:val="right"/>
    </w:pPr>
    <w:rPr>
      <w:rFonts w:cs="Arial"/>
      <w:szCs w:val="18"/>
    </w:rPr>
  </w:style>
  <w:style w:type="paragraph" w:customStyle="1" w:styleId="CopyrightText">
    <w:name w:val="Copyright Text"/>
    <w:basedOn w:val="BodyText"/>
    <w:rsid w:val="000F1B7C"/>
    <w:rPr>
      <w:sz w:val="18"/>
    </w:rPr>
  </w:style>
  <w:style w:type="paragraph" w:customStyle="1" w:styleId="BodySmallRight">
    <w:name w:val="Body Small Right"/>
    <w:basedOn w:val="BodyTextRight"/>
    <w:rsid w:val="000F1B7C"/>
    <w:rPr>
      <w:sz w:val="18"/>
      <w:szCs w:val="18"/>
    </w:rPr>
  </w:style>
  <w:style w:type="paragraph" w:customStyle="1" w:styleId="MarginEdition">
    <w:name w:val="Margin Edition"/>
    <w:basedOn w:val="MarginNote"/>
    <w:rsid w:val="000F1B7C"/>
    <w:pPr>
      <w:spacing w:before="0" w:after="0"/>
    </w:pPr>
    <w:rPr>
      <w:rFonts w:ascii="Times New Roman" w:hAnsi="Times New Roman"/>
      <w:color w:val="999999"/>
    </w:rPr>
  </w:style>
  <w:style w:type="paragraph" w:customStyle="1" w:styleId="Spacer">
    <w:name w:val="Spacer"/>
    <w:basedOn w:val="Normal"/>
    <w:rsid w:val="000F1B7C"/>
    <w:rPr>
      <w:sz w:val="2"/>
      <w:szCs w:val="2"/>
    </w:rPr>
  </w:style>
  <w:style w:type="character" w:customStyle="1" w:styleId="Small">
    <w:name w:val="Small"/>
    <w:basedOn w:val="DefaultParagraphFont"/>
    <w:rsid w:val="000F1B7C"/>
    <w:rPr>
      <w:sz w:val="16"/>
    </w:rPr>
  </w:style>
  <w:style w:type="paragraph" w:customStyle="1" w:styleId="WideTable">
    <w:name w:val="Wide Table"/>
    <w:basedOn w:val="Normal"/>
    <w:rsid w:val="000F1B7C"/>
    <w:pPr>
      <w:ind w:left="-1418"/>
    </w:pPr>
    <w:rPr>
      <w:sz w:val="2"/>
      <w:szCs w:val="2"/>
    </w:rPr>
  </w:style>
  <w:style w:type="character" w:styleId="PageNumber">
    <w:name w:val="page number"/>
    <w:basedOn w:val="DefaultParagraphFont"/>
    <w:rsid w:val="000F1B7C"/>
  </w:style>
  <w:style w:type="paragraph" w:styleId="Quote">
    <w:name w:val="Quote"/>
    <w:basedOn w:val="Heading1"/>
    <w:link w:val="QuoteChar"/>
    <w:qFormat/>
    <w:rsid w:val="000F1B7C"/>
    <w:rPr>
      <w:b w:val="0"/>
      <w:sz w:val="72"/>
      <w:szCs w:val="72"/>
      <w:lang w:val="en-NZ"/>
    </w:rPr>
  </w:style>
  <w:style w:type="character" w:customStyle="1" w:styleId="QuoteChar">
    <w:name w:val="Quote Char"/>
    <w:basedOn w:val="DefaultParagraphFont"/>
    <w:link w:val="Quote"/>
    <w:rsid w:val="000F1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B7C"/>
    <w:pPr>
      <w:pageBreakBefore/>
    </w:pPr>
  </w:style>
  <w:style w:type="paragraph" w:customStyle="1" w:styleId="Border">
    <w:name w:val="Border"/>
    <w:basedOn w:val="Normal"/>
    <w:qFormat/>
    <w:rsid w:val="000F1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B7C"/>
    <w:rPr>
      <w:b/>
      <w:bCs/>
      <w:i/>
      <w:iCs/>
      <w:color w:val="auto"/>
    </w:rPr>
  </w:style>
  <w:style w:type="paragraph" w:styleId="IntenseQuote">
    <w:name w:val="Intense Quote"/>
    <w:basedOn w:val="Normal"/>
    <w:next w:val="Normal"/>
    <w:link w:val="IntenseQuoteChar"/>
    <w:uiPriority w:val="30"/>
    <w:qFormat/>
    <w:rsid w:val="000F1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B7C"/>
    <w:rPr>
      <w:smallCaps/>
      <w:color w:val="auto"/>
      <w:u w:val="single"/>
    </w:rPr>
  </w:style>
  <w:style w:type="character" w:styleId="IntenseReference">
    <w:name w:val="Intense Reference"/>
    <w:basedOn w:val="DefaultParagraphFont"/>
    <w:uiPriority w:val="32"/>
    <w:qFormat/>
    <w:rsid w:val="000F1B7C"/>
    <w:rPr>
      <w:b/>
      <w:bCs/>
      <w:smallCaps/>
      <w:color w:val="auto"/>
      <w:spacing w:val="5"/>
      <w:u w:val="single"/>
    </w:rPr>
  </w:style>
  <w:style w:type="paragraph" w:customStyle="1" w:styleId="2ColumnHeading">
    <w:name w:val="2Column Heading"/>
    <w:basedOn w:val="BodyText"/>
    <w:qFormat/>
    <w:rsid w:val="000F1B7C"/>
    <w:pPr>
      <w:spacing w:after="60"/>
      <w:ind w:left="-2268"/>
    </w:pPr>
    <w:rPr>
      <w:b/>
    </w:rPr>
  </w:style>
  <w:style w:type="paragraph" w:customStyle="1" w:styleId="Heading1TOC">
    <w:name w:val="Heading1 TOC"/>
    <w:basedOn w:val="Normal"/>
    <w:qFormat/>
    <w:rsid w:val="000F1B7C"/>
    <w:pPr>
      <w:spacing w:before="240" w:after="120"/>
    </w:pPr>
    <w:rPr>
      <w:rFonts w:ascii="Times New Roman" w:hAnsi="Times New Roman"/>
      <w:b/>
      <w:sz w:val="32"/>
    </w:rPr>
  </w:style>
  <w:style w:type="paragraph" w:customStyle="1" w:styleId="Heading2TOC">
    <w:name w:val="Heading2 TOC"/>
    <w:basedOn w:val="Normal"/>
    <w:qFormat/>
    <w:rsid w:val="000F1B7C"/>
    <w:pPr>
      <w:spacing w:before="240" w:after="60"/>
    </w:pPr>
    <w:rPr>
      <w:rFonts w:ascii="Times New Roman" w:hAnsi="Times New Roman"/>
      <w:b/>
      <w:sz w:val="28"/>
    </w:rPr>
  </w:style>
  <w:style w:type="character" w:customStyle="1" w:styleId="Underline">
    <w:name w:val="Underline"/>
    <w:basedOn w:val="DefaultParagraphFont"/>
    <w:qFormat/>
    <w:rsid w:val="000F1B7C"/>
    <w:rPr>
      <w:u w:val="single"/>
    </w:rPr>
  </w:style>
  <w:style w:type="character" w:customStyle="1" w:styleId="BoldandItalics">
    <w:name w:val="Bold and Italics"/>
    <w:qFormat/>
    <w:rsid w:val="000F1B7C"/>
    <w:rPr>
      <w:b/>
      <w:i/>
      <w:u w:val="none"/>
    </w:rPr>
  </w:style>
  <w:style w:type="paragraph" w:styleId="BalloonText">
    <w:name w:val="Balloon Text"/>
    <w:basedOn w:val="Normal"/>
    <w:link w:val="BalloonTextChar"/>
    <w:rsid w:val="000F1B7C"/>
    <w:rPr>
      <w:rFonts w:ascii="Tahoma" w:hAnsi="Tahoma" w:cs="Tahoma"/>
      <w:sz w:val="16"/>
      <w:szCs w:val="16"/>
    </w:rPr>
  </w:style>
  <w:style w:type="character" w:customStyle="1" w:styleId="BalloonTextChar">
    <w:name w:val="Balloon Text Char"/>
    <w:basedOn w:val="DefaultParagraphFont"/>
    <w:link w:val="BalloonText"/>
    <w:rsid w:val="000F1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B7C"/>
    <w:rPr>
      <w:b/>
      <w:color w:val="660033"/>
      <w:spacing w:val="0"/>
    </w:rPr>
  </w:style>
  <w:style w:type="paragraph" w:customStyle="1" w:styleId="Nameditemlist">
    <w:name w:val="Named item list"/>
    <w:basedOn w:val="BodyText"/>
    <w:qFormat/>
    <w:rsid w:val="000F1B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6355</Characters>
  <Application>Microsoft Office Word</Application>
  <DocSecurity>0</DocSecurity>
  <Lines>258</Lines>
  <Paragraphs>122</Paragraphs>
  <ScaleCrop>false</ScaleCrop>
  <Company>Author-it Software Corporation Ltd.</Company>
  <LinksUpToDate>false</LinksUpToDate>
  <CharactersWithSpaces>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MSFGG3013 Set up and operate insulated glass unit (IGU) manufacturing equipment</dc:title>
  <dc:subject>Approved</dc:subject>
  <dc:creator>Manufacturing Skills Australia</dc:creator>
  <cp:keywords>Release: 2</cp:keywords>
  <dc:description>Review Date: 12 April 2008</dc:description>
  <cp:lastModifiedBy>TPCMS</cp:lastModifiedBy>
  <cp:revision>3</cp:revision>
  <dcterms:created xsi:type="dcterms:W3CDTF">2016-12-09T03:34:00Z</dcterms:created>
  <dcterms:modified xsi:type="dcterms:W3CDTF">2016-12-09T03:34:00Z</dcterms:modified>
</cp:coreProperties>
</file>