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01A" w:rsidP="00FF001A">
      <w:pPr>
        <w:pStyle w:val="Title"/>
      </w:pPr>
      <w:r>
        <w:fldChar w:fldCharType="begin"/>
      </w:r>
      <w:r>
        <w:instrText xml:space="preserve"> TITLE   \* MERGEFORMAT </w:instrText>
      </w:r>
      <w:r>
        <w:fldChar w:fldCharType="separate"/>
      </w:r>
      <w:r>
        <w:t>MSFGG3012 Set up and operate glass mirroring equipment</w:t>
      </w:r>
      <w:r>
        <w:fldChar w:fldCharType="end"/>
      </w:r>
    </w:p>
    <w:p w:rsidR="00FF001A" w:rsidP="00FF001A">
      <w:pPr>
        <w:pStyle w:val="Version"/>
        <w:sectPr w:rsidSect="00683B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B12" w:rsidP="00683B12">
      <w:pPr>
        <w:pStyle w:val="SuperHeading"/>
      </w:pPr>
      <w:r w:rsidRPr="00683B12">
        <w:t>MSFGG3012 Set up and operate glass mirroring equipment</w:t>
      </w:r>
    </w:p>
    <w:p w:rsidR="00000000" w:rsidRPr="00683B12" w:rsidP="00683B12">
      <w:pPr>
        <w:pStyle w:val="Heading1"/>
      </w:pPr>
      <w:bookmarkStart w:id="1" w:name="O_632438"/>
      <w:bookmarkEnd w:id="1"/>
      <w:r w:rsidRPr="00683B12">
        <w:t>Modification History</w:t>
      </w:r>
    </w:p>
    <w:p w:rsidR="00000000" w:rsidRPr="00683B12" w:rsidP="00683B12">
      <w:pPr>
        <w:pStyle w:val="BodyText"/>
      </w:pPr>
      <w:r w:rsidRPr="00683B12">
        <w:t>Release 1 - New unit of competency</w:t>
      </w:r>
    </w:p>
    <w:p w:rsidR="00000000" w:rsidRPr="00683B12" w:rsidP="00683B12">
      <w:pPr>
        <w:pStyle w:val="AllowPageBreak"/>
      </w:pPr>
    </w:p>
    <w:p w:rsidR="00000000" w:rsidRPr="00683B12" w:rsidP="00683B12">
      <w:pPr>
        <w:pStyle w:val="Heading1"/>
      </w:pPr>
      <w:bookmarkStart w:id="2" w:name="O_632446"/>
      <w:bookmarkEnd w:id="2"/>
      <w:r w:rsidRPr="00683B12">
        <w:t>Application</w:t>
      </w:r>
    </w:p>
    <w:p w:rsidR="00000000" w:rsidRPr="00683B12" w:rsidP="00683B12">
      <w:pPr>
        <w:pStyle w:val="BodyText"/>
      </w:pPr>
      <w:r w:rsidRPr="00683B12">
        <w:t>This unit of competency covers setting up and operating glass mirroring equipment.</w:t>
      </w:r>
    </w:p>
    <w:p w:rsidR="00000000" w:rsidRPr="00683B12" w:rsidP="00683B12">
      <w:pPr>
        <w:pStyle w:val="BodyText"/>
      </w:pPr>
    </w:p>
    <w:p w:rsidR="00000000" w:rsidRPr="00683B12" w:rsidP="00683B12">
      <w:pPr>
        <w:pStyle w:val="BodyText"/>
      </w:pPr>
      <w:r w:rsidRPr="00683B12">
        <w:t>No licensing, legislative or certification requirements apply to this unit at t</w:t>
      </w:r>
      <w:r w:rsidRPr="00683B12">
        <w:t>he time of publication.</w:t>
      </w:r>
    </w:p>
    <w:p w:rsidR="00000000" w:rsidRPr="00683B12" w:rsidP="00683B12">
      <w:pPr>
        <w:pStyle w:val="AllowPageBreak"/>
      </w:pPr>
    </w:p>
    <w:p w:rsidR="00000000" w:rsidRPr="00683B12" w:rsidP="00683B12">
      <w:pPr>
        <w:pStyle w:val="Heading1"/>
      </w:pPr>
      <w:bookmarkStart w:id="3" w:name="O_632445"/>
      <w:bookmarkEnd w:id="3"/>
      <w:r w:rsidRPr="00683B12">
        <w:t>Pre-requisite Unit</w:t>
      </w:r>
    </w:p>
    <w:p w:rsidR="00000000" w:rsidRPr="00683B12" w:rsidP="00683B12">
      <w:pPr>
        <w:pStyle w:val="Heading1"/>
      </w:pPr>
      <w:bookmarkStart w:id="4" w:name="O_632444"/>
      <w:bookmarkEnd w:id="4"/>
      <w:r w:rsidRPr="00683B12">
        <w:t>Competency Field</w:t>
      </w:r>
    </w:p>
    <w:p w:rsidR="00000000" w:rsidRPr="00683B12" w:rsidP="00683B12">
      <w:pPr>
        <w:pStyle w:val="Heading1"/>
      </w:pPr>
      <w:bookmarkStart w:id="5" w:name="O_632443"/>
      <w:bookmarkEnd w:id="5"/>
      <w:r w:rsidRPr="00683B12">
        <w:t>Unit Sector</w:t>
      </w:r>
    </w:p>
    <w:p w:rsidR="00000000" w:rsidRPr="00683B12" w:rsidP="00683B12">
      <w:pPr>
        <w:pStyle w:val="BodyText"/>
      </w:pPr>
      <w:r w:rsidRPr="00683B12">
        <w:t>Glass and Glazing</w:t>
      </w:r>
    </w:p>
    <w:p w:rsidR="00000000" w:rsidRPr="00683B12" w:rsidP="00683B12">
      <w:pPr>
        <w:pStyle w:val="AllowPageBreak"/>
      </w:pPr>
    </w:p>
    <w:p w:rsidR="00000000" w:rsidRPr="00683B12" w:rsidP="00683B12">
      <w:pPr>
        <w:pStyle w:val="Heading1"/>
      </w:pPr>
      <w:bookmarkStart w:id="6" w:name="O_632442"/>
      <w:bookmarkEnd w:id="6"/>
      <w:r w:rsidRPr="00683B12">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683B1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Performance criteria de</w:t>
            </w:r>
            <w:r w:rsidRPr="00683B12">
              <w:t>scribe the performance needed to demonstrate achievement of the element.</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1</w:t>
            </w:r>
          </w:p>
        </w:tc>
        <w:tc>
          <w:tcPr>
            <w:tcW w:w="2219"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Prepare for work</w:t>
            </w: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1.1</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Work requirements are determined from work instructions</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1.2</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Work health and safety (WHS) requ</w:t>
            </w:r>
            <w:r w:rsidRPr="00683B12">
              <w:t>irements relevant to operating glass mirroring equipment, including personal protective equipment, are observed throughout the work</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1.3</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Work sequence is planned in a logical order to suit the job requirements and workplace procedures</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1.4</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Tools, equipment and materials are selected and checked prior to use to ensure they are appropriate for the work, of the required quality, serviceable and in a safe condition</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1.5</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Machines are identified and checked for safe and effective operation, incl</w:t>
            </w:r>
            <w:r w:rsidRPr="00683B12">
              <w:t>uding emergency stops, gauges, guards and controls</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1.6</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 xml:space="preserve">Procedures for checking the quality of materials and items </w:t>
            </w:r>
            <w:r w:rsidRPr="00683B12">
              <w:t>produced, working condition of equipment and quality requirements for each stage of the mirroring process are identified</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1.7</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Communicati</w:t>
            </w:r>
            <w:r w:rsidRPr="00683B12">
              <w:t>on with others involved with the work is established and maintained to ensure efficient work flow coordination, personnel cooperation and safety throughout the glass mirroring process</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1.8</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The processes for obtaining materials and moving completed work to the next process are identified</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2</w:t>
            </w:r>
          </w:p>
        </w:tc>
        <w:tc>
          <w:tcPr>
            <w:tcW w:w="2219"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Prepare glass for mirroring</w:t>
            </w: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2.1</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If applicable, existing mirror is removed by acid washing, cleaning and/or polishing</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2.2</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Glass to be mirrored is washed</w:t>
            </w:r>
            <w:r w:rsidRPr="00683B12">
              <w:t xml:space="preserve"> with detergent in accordance with workplace procedures or industry practice</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2.3</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Glass to be mirrored is rinsed with demineralised water in accordance with workplace procedures or industry practice</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3</w:t>
            </w:r>
          </w:p>
        </w:tc>
        <w:tc>
          <w:tcPr>
            <w:tcW w:w="2219"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Conduct glass mirroring operations</w:t>
            </w: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3.1</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Tinning solut</w:t>
            </w:r>
            <w:r w:rsidRPr="00683B12">
              <w:t>ion is applied in accordance with workplace procedures or industry practice</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3.2</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Glass is rinsed with demineralised water in accordance with workplace procedures or industry practice</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3.3</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Mirror solution is applied to glass in accordance with workplace procedures or industry practice</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3.4</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Glass is washed and blow dried in accordance with workplace procedures or industry practice</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3.5</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Backing paint is applied in accordance with workplace</w:t>
            </w:r>
            <w:r w:rsidRPr="00683B12">
              <w:t xml:space="preserve"> procedures or industry practice</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4</w:t>
            </w:r>
          </w:p>
        </w:tc>
        <w:tc>
          <w:tcPr>
            <w:tcW w:w="2219"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Complete work</w:t>
            </w: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4.1</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Product is inspected for quality of work and items which do not meet quality requirements discarded or returned for reprocessing in accordance with workplace procedures</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4.2</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Completed work is placed in holding area in accordance with workplace procedures</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4.3</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Work area is cleaned and rubbish disposed of, as appropriate</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4.4</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Equipment is cleaned and inspected for serviceability and stored in accordance with workplace proced</w:t>
            </w:r>
            <w:r w:rsidRPr="00683B12">
              <w:t>ures, unserviceable equipment tagged, and faults identified and reported in accordance with workplace procedures</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4.5</w:t>
            </w:r>
          </w:p>
        </w:tc>
        <w:tc>
          <w:tcPr>
            <w:tcW w:w="5844"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Tools, equipment and unused materials are removed and stored appropriately</w:t>
            </w:r>
          </w:p>
        </w:tc>
      </w:tr>
      <w:tr w:rsidTr="00683B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4.6</w:t>
            </w:r>
          </w:p>
        </w:tc>
        <w:tc>
          <w:tcPr>
            <w:tcW w:w="5844" w:type="dxa"/>
            <w:tcBorders>
              <w:top w:val="nil"/>
              <w:left w:val="nil"/>
              <w:bottom w:val="nil"/>
              <w:right w:val="nil"/>
            </w:tcBorders>
            <w:tcMar>
              <w:top w:w="0" w:type="dxa"/>
              <w:left w:w="62" w:type="dxa"/>
              <w:bottom w:w="0" w:type="dxa"/>
              <w:right w:w="62" w:type="dxa"/>
            </w:tcMar>
          </w:tcPr>
          <w:p w:rsidR="00000000" w:rsidRPr="00683B12" w:rsidP="00683B12">
            <w:pPr>
              <w:pStyle w:val="BodyText"/>
            </w:pPr>
            <w:r w:rsidRPr="00683B12">
              <w:t>Workplace documentation is completed in accordance with workplace requirements</w:t>
            </w:r>
          </w:p>
        </w:tc>
      </w:tr>
    </w:tbl>
    <w:p w:rsidR="00000000" w:rsidRPr="00683B12" w:rsidP="00683B12">
      <w:pPr>
        <w:pStyle w:val="BodyText"/>
      </w:pPr>
    </w:p>
    <w:p w:rsidR="00000000" w:rsidRPr="00683B12" w:rsidP="00683B12">
      <w:pPr>
        <w:pStyle w:val="AllowPageBreak"/>
      </w:pPr>
    </w:p>
    <w:p w:rsidR="00000000" w:rsidRPr="00683B12" w:rsidP="00683B12">
      <w:pPr>
        <w:pStyle w:val="Heading1"/>
      </w:pPr>
      <w:bookmarkStart w:id="7" w:name="O_632441"/>
      <w:bookmarkEnd w:id="7"/>
      <w:r w:rsidRPr="00683B12">
        <w:t>Foundation Skills</w:t>
      </w:r>
    </w:p>
    <w:p w:rsidR="00000000" w:rsidRPr="00683B12" w:rsidP="00683B12">
      <w:pPr>
        <w:pStyle w:val="BodyText"/>
      </w:pPr>
      <w:r w:rsidRPr="00683B12">
        <w:t>Foundation skills essential to performance are explicit in the performance criteria of this unit of competency. Detail on appropriate perfor</w:t>
      </w:r>
      <w:r w:rsidRPr="00683B12">
        <w:t>mance levels for each furnishing unit of competency in reading, writing, oral communication and numeracy utilising the Australian Core Skills Framework (ACSF) are provided in the Furnishing Training Package Implementation Guide.</w:t>
      </w:r>
    </w:p>
    <w:p w:rsidR="00000000" w:rsidRPr="00683B12" w:rsidP="00683B12">
      <w:pPr>
        <w:pStyle w:val="AllowPageBreak"/>
      </w:pPr>
    </w:p>
    <w:p w:rsidR="00000000" w:rsidRPr="00683B12" w:rsidP="00683B12">
      <w:pPr>
        <w:pStyle w:val="Heading1"/>
      </w:pPr>
      <w:bookmarkStart w:id="8" w:name="O_632440"/>
      <w:bookmarkEnd w:id="8"/>
      <w:r w:rsidRPr="00683B12">
        <w:t>Range of C</w:t>
      </w:r>
      <w:r w:rsidRPr="00683B12">
        <w:t>onditions</w:t>
      </w:r>
    </w:p>
    <w:tbl>
      <w:tblPr>
        <w:tblW w:w="0" w:type="auto"/>
        <w:tblLayout w:type="fixed"/>
        <w:tblCellMar>
          <w:left w:w="62" w:type="dxa"/>
          <w:right w:w="62" w:type="dxa"/>
        </w:tblCellMar>
        <w:tblLook w:val="0000"/>
      </w:tblPr>
      <w:tblGrid>
        <w:gridCol w:w="2760"/>
        <w:gridCol w:w="6312"/>
      </w:tblGrid>
      <w:tr w:rsidTr="00683B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t>Specifies different work environments and conditions that may affect performance. Essential operating conditions that may be present (depending on the work situation, needs of the candidate, accessibility of the item, and local industry and regio</w:t>
            </w:r>
            <w:r w:rsidRPr="00683B12">
              <w:t>nal contexts) are included. Range is restricted to essential operating conditions and any other variables essential to the work environment.</w:t>
            </w:r>
          </w:p>
        </w:tc>
      </w:tr>
      <w:tr w:rsidTr="00683B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83B12" w:rsidP="00683B12">
            <w:pPr>
              <w:pStyle w:val="ListBullet"/>
            </w:pPr>
            <w:r w:rsidRPr="00683B12">
              <w:t xml:space="preserve">WHS requirements, including legislation, building codes, material safety management </w:t>
            </w:r>
            <w:r w:rsidRPr="00683B12">
              <w:t xml:space="preserve">systems, hazardous and dangerous goods codes, and local safe operating procedures or equivalent </w:t>
            </w:r>
          </w:p>
          <w:p w:rsidR="00000000" w:rsidRPr="00683B12" w:rsidP="00683B12">
            <w:pPr>
              <w:pStyle w:val="ListBullet"/>
            </w:pPr>
            <w:r w:rsidRPr="00683B12">
              <w:t>work is carried out in accordance with legislative obligations, environmental legislation, relevant health regulations, manual handling procedures and organisa</w:t>
            </w:r>
            <w:r w:rsidRPr="00683B12">
              <w:t>tion insurance requirements</w:t>
            </w:r>
          </w:p>
          <w:p w:rsidR="00000000" w:rsidP="00683B12">
            <w:pPr>
              <w:pStyle w:val="ListBullet"/>
              <w:rPr>
                <w:lang w:val="en-NZ"/>
              </w:rPr>
            </w:pPr>
            <w:r w:rsidRPr="00683B12">
              <w:t xml:space="preserve">work requires individuals to demonstrate some discretion, judgement and problem solving </w:t>
            </w:r>
          </w:p>
        </w:tc>
      </w:tr>
      <w:tr w:rsidTr="00683B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rPr>
                <w:rStyle w:val="SpecialBold"/>
              </w:rPr>
              <w:t>Work requirements include:</w:t>
            </w:r>
          </w:p>
        </w:tc>
        <w:tc>
          <w:tcPr>
            <w:tcW w:w="6312" w:type="dxa"/>
            <w:tcBorders>
              <w:top w:val="nil"/>
              <w:left w:val="nil"/>
              <w:bottom w:val="nil"/>
              <w:right w:val="nil"/>
            </w:tcBorders>
            <w:tcMar>
              <w:top w:w="0" w:type="dxa"/>
              <w:left w:w="62" w:type="dxa"/>
              <w:bottom w:w="0" w:type="dxa"/>
              <w:right w:w="62" w:type="dxa"/>
            </w:tcMar>
          </w:tcPr>
          <w:p w:rsidR="00000000" w:rsidRPr="00683B12" w:rsidP="00683B12">
            <w:pPr>
              <w:pStyle w:val="ListBullet"/>
            </w:pPr>
            <w:r w:rsidRPr="00683B12">
              <w:t>material to be used</w:t>
            </w:r>
          </w:p>
          <w:p w:rsidR="00000000" w:rsidRPr="00683B12" w:rsidP="00683B12">
            <w:pPr>
              <w:pStyle w:val="ListBullet"/>
            </w:pPr>
            <w:r w:rsidRPr="00683B12">
              <w:t>process required to complete work tasks</w:t>
            </w:r>
          </w:p>
          <w:p w:rsidR="00000000" w:rsidP="00683B12">
            <w:pPr>
              <w:pStyle w:val="ListBullet"/>
              <w:rPr>
                <w:lang w:val="en-NZ"/>
              </w:rPr>
            </w:pPr>
            <w:r w:rsidRPr="00683B12">
              <w:t>number of sheets to be mirrored and holding area f</w:t>
            </w:r>
            <w:r w:rsidRPr="00683B12">
              <w:t>or completed items</w:t>
            </w:r>
          </w:p>
        </w:tc>
      </w:tr>
      <w:tr w:rsidTr="00683B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rPr>
                <w:rStyle w:val="SpecialBold"/>
              </w:rPr>
              <w:t>Glass mirroring involves:</w:t>
            </w:r>
          </w:p>
        </w:tc>
        <w:tc>
          <w:tcPr>
            <w:tcW w:w="6312" w:type="dxa"/>
            <w:tcBorders>
              <w:top w:val="nil"/>
              <w:left w:val="nil"/>
              <w:bottom w:val="nil"/>
              <w:right w:val="nil"/>
            </w:tcBorders>
            <w:tcMar>
              <w:top w:w="0" w:type="dxa"/>
              <w:left w:w="62" w:type="dxa"/>
              <w:bottom w:w="0" w:type="dxa"/>
              <w:right w:w="62" w:type="dxa"/>
            </w:tcMar>
          </w:tcPr>
          <w:p w:rsidR="00000000" w:rsidP="00683B12">
            <w:pPr>
              <w:pStyle w:val="ListBullet"/>
              <w:rPr>
                <w:lang w:val="en-NZ"/>
              </w:rPr>
            </w:pPr>
            <w:r w:rsidRPr="00683B12">
              <w:t>processes and equipment to mirror glass for the manufacture of mirrors and other glass products</w:t>
            </w:r>
          </w:p>
        </w:tc>
      </w:tr>
      <w:tr w:rsidTr="00683B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83B12" w:rsidP="00683B12">
            <w:pPr>
              <w:pStyle w:val="ListBullet"/>
            </w:pPr>
            <w:r w:rsidRPr="00683B12">
              <w:t>semi-automatic and computer-navigated mirroring equipment</w:t>
            </w:r>
          </w:p>
          <w:p w:rsidR="00000000" w:rsidRPr="00683B12" w:rsidP="00683B12">
            <w:pPr>
              <w:pStyle w:val="ListBullet"/>
            </w:pPr>
            <w:r w:rsidRPr="00683B12">
              <w:t>buffing and cleaning tables</w:t>
            </w:r>
          </w:p>
          <w:p w:rsidR="00000000" w:rsidRPr="00683B12" w:rsidP="00683B12">
            <w:pPr>
              <w:pStyle w:val="ListBullet"/>
            </w:pPr>
            <w:r w:rsidRPr="00683B12">
              <w:t>spray booths</w:t>
            </w:r>
          </w:p>
          <w:p w:rsidR="00000000" w:rsidRPr="00683B12" w:rsidP="00683B12">
            <w:pPr>
              <w:pStyle w:val="ListBullet"/>
            </w:pPr>
            <w:r w:rsidRPr="00683B12">
              <w:t>copper plating electrodes</w:t>
            </w:r>
          </w:p>
          <w:p w:rsidR="00000000" w:rsidRPr="00683B12" w:rsidP="00683B12">
            <w:pPr>
              <w:pStyle w:val="ListBullet"/>
            </w:pPr>
            <w:r w:rsidRPr="00683B12">
              <w:t>extractor fans</w:t>
            </w:r>
          </w:p>
          <w:p w:rsidR="00000000" w:rsidRPr="00683B12" w:rsidP="00683B12">
            <w:pPr>
              <w:pStyle w:val="ListBullet"/>
            </w:pPr>
            <w:r w:rsidRPr="00683B12">
              <w:t>dual nozzle spray guns</w:t>
            </w:r>
          </w:p>
          <w:p w:rsidR="00000000" w:rsidRPr="00683B12" w:rsidP="00683B12">
            <w:pPr>
              <w:pStyle w:val="ListBullet"/>
            </w:pPr>
            <w:r w:rsidRPr="00683B12">
              <w:t>compressors</w:t>
            </w:r>
          </w:p>
          <w:p w:rsidR="00000000" w:rsidRPr="00683B12" w:rsidP="00683B12">
            <w:pPr>
              <w:pStyle w:val="ListBullet"/>
            </w:pPr>
            <w:r w:rsidRPr="00683B12">
              <w:t>solution containers</w:t>
            </w:r>
          </w:p>
          <w:p w:rsidR="00000000" w:rsidRPr="00683B12" w:rsidP="00683B12">
            <w:pPr>
              <w:pStyle w:val="ListBullet"/>
            </w:pPr>
            <w:r w:rsidRPr="00683B12">
              <w:t>heated drying racks</w:t>
            </w:r>
          </w:p>
          <w:p w:rsidR="00000000" w:rsidRPr="00683B12" w:rsidP="00683B12">
            <w:pPr>
              <w:pStyle w:val="ListBullet"/>
            </w:pPr>
            <w:r w:rsidRPr="00683B12">
              <w:t>water distiller</w:t>
            </w:r>
          </w:p>
          <w:p w:rsidR="00000000" w:rsidRPr="00683B12" w:rsidP="00683B12">
            <w:pPr>
              <w:pStyle w:val="ListBullet"/>
            </w:pPr>
            <w:r w:rsidRPr="00683B12">
              <w:t>mirroring formulas</w:t>
            </w:r>
          </w:p>
          <w:p w:rsidR="00000000" w:rsidRPr="00683B12" w:rsidP="00683B12">
            <w:pPr>
              <w:pStyle w:val="ListBullet"/>
            </w:pPr>
            <w:r w:rsidRPr="00683B12">
              <w:t>tinning solution</w:t>
            </w:r>
          </w:p>
          <w:p w:rsidR="00000000" w:rsidRPr="00683B12" w:rsidP="00683B12">
            <w:pPr>
              <w:pStyle w:val="ListBullet"/>
            </w:pPr>
            <w:r w:rsidRPr="00683B12">
              <w:t xml:space="preserve">backing paint </w:t>
            </w:r>
          </w:p>
          <w:p w:rsidR="00000000" w:rsidP="00683B12">
            <w:pPr>
              <w:pStyle w:val="ListBullet"/>
              <w:rPr>
                <w:lang w:val="en-NZ"/>
              </w:rPr>
            </w:pPr>
            <w:r w:rsidRPr="00683B12">
              <w:t>stripping acid tanks for re-mirroring</w:t>
            </w:r>
          </w:p>
        </w:tc>
      </w:tr>
      <w:tr w:rsidTr="00683B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83B12" w:rsidP="00683B12">
            <w:pPr>
              <w:pStyle w:val="ListBullet"/>
            </w:pPr>
            <w:r w:rsidRPr="00683B12">
              <w:t>annealed glass</w:t>
            </w:r>
          </w:p>
          <w:p w:rsidR="00000000" w:rsidRPr="00683B12" w:rsidP="00683B12">
            <w:pPr>
              <w:pStyle w:val="ListBullet"/>
            </w:pPr>
            <w:r w:rsidRPr="00683B12">
              <w:t>sheet glass</w:t>
            </w:r>
          </w:p>
          <w:p w:rsidR="00000000" w:rsidRPr="00683B12" w:rsidP="00683B12">
            <w:pPr>
              <w:pStyle w:val="ListBullet"/>
            </w:pPr>
            <w:r w:rsidRPr="00683B12">
              <w:t>laminated glass</w:t>
            </w:r>
          </w:p>
          <w:p w:rsidR="00000000" w:rsidP="00683B12">
            <w:pPr>
              <w:pStyle w:val="ListBullet"/>
              <w:rPr>
                <w:lang w:val="en-NZ"/>
              </w:rPr>
            </w:pPr>
            <w:r w:rsidRPr="00683B12">
              <w:t>toughened glass</w:t>
            </w:r>
          </w:p>
        </w:tc>
      </w:tr>
      <w:tr w:rsidTr="00683B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83B12" w:rsidP="00683B12">
            <w:pPr>
              <w:pStyle w:val="BodyText"/>
            </w:pPr>
            <w:r w:rsidRPr="00683B12">
              <w:rPr>
                <w:rStyle w:val="SpecialBold"/>
              </w:rPr>
              <w:t>Personal protective equipment includes:</w:t>
            </w:r>
          </w:p>
          <w:p w:rsidR="00000000" w:rsidP="00683B1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83B12" w:rsidP="00683B12">
            <w:pPr>
              <w:pStyle w:val="ListBullet"/>
            </w:pPr>
            <w:r w:rsidRPr="00683B12">
              <w:t>that prescribed under legislation, regulation and enterprise policies and practices:</w:t>
            </w:r>
          </w:p>
          <w:p w:rsidR="00000000" w:rsidRPr="00683B12" w:rsidP="00683B12">
            <w:pPr>
              <w:pStyle w:val="ListBullet2"/>
            </w:pPr>
            <w:r w:rsidRPr="00683B12">
              <w:t>gauntlets</w:t>
            </w:r>
          </w:p>
          <w:p w:rsidR="00000000" w:rsidRPr="00683B12" w:rsidP="00683B12">
            <w:pPr>
              <w:pStyle w:val="ListBullet2"/>
            </w:pPr>
            <w:r w:rsidRPr="00683B12">
              <w:t>gloves</w:t>
            </w:r>
          </w:p>
          <w:p w:rsidR="00000000" w:rsidRPr="00683B12" w:rsidP="00683B12">
            <w:pPr>
              <w:pStyle w:val="ListBullet2"/>
            </w:pPr>
            <w:r w:rsidRPr="00683B12">
              <w:t>safety glasses</w:t>
            </w:r>
          </w:p>
          <w:p w:rsidR="00000000" w:rsidRPr="00683B12" w:rsidP="00683B12">
            <w:pPr>
              <w:pStyle w:val="ListBullet2"/>
            </w:pPr>
            <w:r w:rsidRPr="00683B12">
              <w:t>hard hats</w:t>
            </w:r>
          </w:p>
          <w:p w:rsidR="00000000" w:rsidRPr="00683B12" w:rsidP="00683B12">
            <w:pPr>
              <w:pStyle w:val="ListBullet2"/>
            </w:pPr>
            <w:r w:rsidRPr="00683B12">
              <w:t>safety footwear</w:t>
            </w:r>
          </w:p>
          <w:p w:rsidR="00000000" w:rsidRPr="00683B12" w:rsidP="00683B12">
            <w:pPr>
              <w:pStyle w:val="ListBullet2"/>
            </w:pPr>
            <w:r w:rsidRPr="00683B12">
              <w:t>aprons and overalls</w:t>
            </w:r>
          </w:p>
          <w:p w:rsidR="00000000" w:rsidP="00683B12">
            <w:pPr>
              <w:pStyle w:val="ListBullet2"/>
              <w:rPr>
                <w:lang w:val="en-NZ"/>
              </w:rPr>
            </w:pPr>
            <w:r w:rsidRPr="00683B12">
              <w:t>respiratory masks</w:t>
            </w:r>
          </w:p>
        </w:tc>
      </w:tr>
      <w:tr w:rsidTr="00683B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3B12">
            <w:pPr>
              <w:pStyle w:val="BodyText"/>
              <w:rPr>
                <w:lang w:val="en-NZ"/>
              </w:rPr>
            </w:pPr>
            <w:r w:rsidRPr="00683B1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83B12" w:rsidP="00683B12">
            <w:pPr>
              <w:pStyle w:val="ListBullet"/>
            </w:pPr>
            <w:r w:rsidRPr="00683B12">
              <w:t xml:space="preserve">workplace procedures relating to the use of tools and equipment and personal protective equipment </w:t>
            </w:r>
          </w:p>
          <w:p w:rsidR="00000000" w:rsidRPr="00683B12" w:rsidP="00683B12">
            <w:pPr>
              <w:pStyle w:val="ListBullet"/>
            </w:pPr>
            <w:r w:rsidRPr="00683B12">
              <w:t xml:space="preserve">work instructions, including job sheets, cutting lists, plans, drawings and designs </w:t>
            </w:r>
          </w:p>
          <w:p w:rsidR="00000000" w:rsidRPr="00683B12" w:rsidP="00683B12">
            <w:pPr>
              <w:pStyle w:val="ListBullet"/>
            </w:pPr>
            <w:r w:rsidRPr="00683B12">
              <w:t xml:space="preserve">workplace procedures relating to reporting and communication </w:t>
            </w:r>
          </w:p>
          <w:p w:rsidR="00000000" w:rsidRPr="00683B12" w:rsidP="00683B12">
            <w:pPr>
              <w:pStyle w:val="ListBullet"/>
            </w:pPr>
            <w:r w:rsidRPr="00683B12">
              <w:t>manufacturer specifications and operational procedures</w:t>
            </w:r>
          </w:p>
          <w:p w:rsidR="00000000" w:rsidRPr="00683B12" w:rsidP="00683B12">
            <w:pPr>
              <w:pStyle w:val="ListBullet"/>
            </w:pPr>
            <w:r w:rsidRPr="00683B12">
              <w:t>relevant Australian Standards</w:t>
            </w:r>
          </w:p>
        </w:tc>
      </w:tr>
    </w:tbl>
    <w:p w:rsidR="00000000" w:rsidRPr="00683B12" w:rsidP="00683B12">
      <w:pPr>
        <w:pStyle w:val="BodyText"/>
      </w:pPr>
    </w:p>
    <w:p w:rsidR="00000000" w:rsidRPr="00683B12" w:rsidP="00683B12">
      <w:pPr>
        <w:pStyle w:val="AllowPageBreak"/>
      </w:pPr>
    </w:p>
    <w:p w:rsidR="00000000" w:rsidRPr="00683B12" w:rsidP="00683B12">
      <w:pPr>
        <w:pStyle w:val="Heading1"/>
      </w:pPr>
      <w:bookmarkStart w:id="9" w:name="O_632439"/>
      <w:bookmarkEnd w:id="9"/>
      <w:r w:rsidRPr="00683B12">
        <w:t xml:space="preserve">Unit </w:t>
      </w:r>
      <w:r w:rsidRPr="00683B12">
        <w:t>Mapping Information</w:t>
      </w:r>
    </w:p>
    <w:p w:rsidR="00000000" w:rsidRPr="00683B12" w:rsidP="00683B12">
      <w:pPr>
        <w:pStyle w:val="BodyText"/>
      </w:pPr>
      <w:r w:rsidRPr="00683B12">
        <w:t>Supersedes and is equivalent to LMFGG3011C Set up and operate glass silvering equipment.</w:t>
      </w:r>
    </w:p>
    <w:p w:rsidR="00000000" w:rsidRPr="00683B12" w:rsidP="00683B12">
      <w:pPr>
        <w:pStyle w:val="AllowPageBreak"/>
      </w:pPr>
    </w:p>
    <w:p w:rsidR="00000000" w:rsidRPr="00683B12" w:rsidP="00683B12">
      <w:pPr>
        <w:pStyle w:val="Heading1"/>
      </w:pPr>
      <w:bookmarkStart w:id="10" w:name="O_632432"/>
      <w:bookmarkEnd w:id="10"/>
      <w:r w:rsidRPr="00683B12">
        <w:t>Links</w:t>
      </w:r>
    </w:p>
    <w:p w:rsidR="00000000" w:rsidRPr="00683B12" w:rsidP="00683B12">
      <w:pPr>
        <w:pStyle w:val="BodyText"/>
      </w:pPr>
      <w:r w:rsidRPr="00683B12">
        <w:t>Companion Volume implementation guides are found in VETNet - https://vetnet.education.gov.au/Pages/TrainingDocs.aspx?q=0601a</w:t>
      </w:r>
      <w:r w:rsidRPr="00683B12">
        <w:t>b95-583a-4e93-b2d4-cfb27b03ed73</w:t>
      </w:r>
    </w:p>
    <w:p w:rsidR="00000000" w:rsidRPr="00683B12" w:rsidP="00683B12"/>
    <w:sectPr w:rsidSect="00683B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12" w:rsidRPr="00FF001A" w:rsidP="00FF0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1A" w:rsidP="00683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001A" w:rsidP="00683B1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001A" w:rsidP="00683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B12" w:rsidRPr="00FF001A" w:rsidP="00FF00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1A" w:rsidRPr="002D2AF8" w:rsidP="00683B12">
    <w:pPr>
      <w:pStyle w:val="Header"/>
      <w:framePr w:wrap="around"/>
    </w:pPr>
    <w:r>
      <w:fldChar w:fldCharType="begin"/>
    </w:r>
    <w:r>
      <w:instrText xml:space="preserve"> TITLE   \* MERGEFORMAT </w:instrText>
    </w:r>
    <w:r>
      <w:fldChar w:fldCharType="separate"/>
    </w:r>
    <w:r>
      <w:t>MSFGG3012 Set up and operate glass mirroring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F001A" w:rsidP="00683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03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E81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EB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B12"/>
    <w:pPr>
      <w:spacing w:before="360" w:after="60"/>
      <w:outlineLvl w:val="0"/>
    </w:pPr>
    <w:rPr>
      <w:sz w:val="32"/>
    </w:rPr>
  </w:style>
  <w:style w:type="paragraph" w:styleId="Heading2">
    <w:name w:val="heading 2"/>
    <w:basedOn w:val="HeadingBase"/>
    <w:next w:val="BodyText"/>
    <w:link w:val="Heading2Char"/>
    <w:qFormat/>
    <w:rsid w:val="00683B12"/>
    <w:pPr>
      <w:keepLines/>
      <w:spacing w:before="240" w:after="120"/>
      <w:outlineLvl w:val="1"/>
    </w:pPr>
    <w:rPr>
      <w:sz w:val="28"/>
      <w:szCs w:val="40"/>
    </w:rPr>
  </w:style>
  <w:style w:type="paragraph" w:styleId="Heading3">
    <w:name w:val="heading 3"/>
    <w:basedOn w:val="HeadingBase"/>
    <w:next w:val="BodyText"/>
    <w:link w:val="Heading3Char"/>
    <w:qFormat/>
    <w:rsid w:val="00683B12"/>
    <w:pPr>
      <w:spacing w:before="180" w:after="120"/>
      <w:outlineLvl w:val="2"/>
    </w:pPr>
    <w:rPr>
      <w:spacing w:val="-10"/>
      <w:kern w:val="32"/>
    </w:rPr>
  </w:style>
  <w:style w:type="paragraph" w:styleId="Heading4">
    <w:name w:val="heading 4"/>
    <w:basedOn w:val="HeadingBase"/>
    <w:next w:val="BodyText"/>
    <w:link w:val="Heading4Char"/>
    <w:qFormat/>
    <w:rsid w:val="00683B12"/>
    <w:pPr>
      <w:spacing w:before="160" w:after="120"/>
      <w:outlineLvl w:val="3"/>
    </w:pPr>
    <w:rPr>
      <w:sz w:val="22"/>
    </w:rPr>
  </w:style>
  <w:style w:type="paragraph" w:styleId="Heading5">
    <w:name w:val="heading 5"/>
    <w:basedOn w:val="HeadingBase"/>
    <w:next w:val="Normal"/>
    <w:link w:val="Heading5Char"/>
    <w:qFormat/>
    <w:rsid w:val="00683B12"/>
    <w:pPr>
      <w:spacing w:before="80"/>
      <w:outlineLvl w:val="4"/>
    </w:pPr>
    <w:rPr>
      <w:color w:val="918585"/>
      <w:sz w:val="20"/>
    </w:rPr>
  </w:style>
  <w:style w:type="paragraph" w:styleId="Heading6">
    <w:name w:val="heading 6"/>
    <w:basedOn w:val="HeadingBase"/>
    <w:next w:val="Normal"/>
    <w:link w:val="Heading6Char"/>
    <w:qFormat/>
    <w:rsid w:val="00683B12"/>
    <w:pPr>
      <w:spacing w:before="60"/>
      <w:outlineLvl w:val="5"/>
    </w:pPr>
    <w:rPr>
      <w:color w:val="918585"/>
      <w:sz w:val="20"/>
    </w:rPr>
  </w:style>
  <w:style w:type="paragraph" w:styleId="Heading7">
    <w:name w:val="heading 7"/>
    <w:basedOn w:val="Normal"/>
    <w:next w:val="Normal"/>
    <w:link w:val="Heading7Char"/>
    <w:qFormat/>
    <w:rsid w:val="00683B12"/>
    <w:pPr>
      <w:ind w:left="720"/>
      <w:outlineLvl w:val="6"/>
    </w:pPr>
    <w:rPr>
      <w:i/>
    </w:rPr>
  </w:style>
  <w:style w:type="paragraph" w:styleId="Heading8">
    <w:name w:val="heading 8"/>
    <w:basedOn w:val="Normal"/>
    <w:next w:val="Normal"/>
    <w:link w:val="Heading8Char"/>
    <w:qFormat/>
    <w:rsid w:val="00683B12"/>
    <w:pPr>
      <w:ind w:left="720"/>
      <w:outlineLvl w:val="7"/>
    </w:pPr>
    <w:rPr>
      <w:i/>
    </w:rPr>
  </w:style>
  <w:style w:type="paragraph" w:styleId="Heading9">
    <w:name w:val="heading 9"/>
    <w:basedOn w:val="Normal"/>
    <w:next w:val="Normal"/>
    <w:link w:val="Heading9Char"/>
    <w:qFormat/>
    <w:rsid w:val="00683B12"/>
    <w:pPr>
      <w:ind w:left="720"/>
      <w:outlineLvl w:val="8"/>
    </w:pPr>
    <w:rPr>
      <w:i/>
    </w:rPr>
  </w:style>
  <w:style w:type="character" w:default="1" w:styleId="DefaultParagraphFont">
    <w:name w:val="Default Paragraph Font"/>
    <w:uiPriority w:val="1"/>
    <w:unhideWhenUsed/>
    <w:rsid w:val="00683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B12"/>
  </w:style>
  <w:style w:type="character" w:customStyle="1" w:styleId="Heading1Char">
    <w:name w:val="Heading 1 Char"/>
    <w:basedOn w:val="DefaultParagraphFont"/>
    <w:link w:val="Heading1"/>
    <w:rsid w:val="00683B12"/>
    <w:rPr>
      <w:rFonts w:ascii="Times New Roman" w:eastAsia="Times New Roman" w:hAnsi="Times New Roman" w:cs="Times New Roman"/>
      <w:b/>
      <w:sz w:val="32"/>
      <w:szCs w:val="20"/>
      <w:lang w:eastAsia="en-US"/>
    </w:rPr>
  </w:style>
  <w:style w:type="paragraph" w:styleId="BodyText">
    <w:name w:val="Body Text"/>
    <w:basedOn w:val="Normal"/>
    <w:link w:val="BodyTextChar"/>
    <w:rsid w:val="00683B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3B12"/>
    <w:rPr>
      <w:rFonts w:ascii="Times New Roman" w:eastAsia="Times New Roman" w:hAnsi="Times New Roman" w:cs="Times New Roman"/>
      <w:sz w:val="24"/>
      <w:lang w:eastAsia="en-US"/>
    </w:rPr>
  </w:style>
  <w:style w:type="paragraph" w:styleId="ListBullet">
    <w:name w:val="List Bullet"/>
    <w:basedOn w:val="List"/>
    <w:rsid w:val="00683B12"/>
    <w:pPr>
      <w:numPr>
        <w:numId w:val="13"/>
      </w:numPr>
      <w:tabs>
        <w:tab w:val="clear" w:pos="340"/>
      </w:tabs>
      <w:spacing w:before="40" w:after="40"/>
    </w:pPr>
  </w:style>
  <w:style w:type="character" w:customStyle="1" w:styleId="SpecialBold">
    <w:name w:val="Special Bold"/>
    <w:basedOn w:val="DefaultParagraphFont"/>
    <w:rsid w:val="00683B12"/>
    <w:rPr>
      <w:b/>
      <w:spacing w:val="0"/>
    </w:rPr>
  </w:style>
  <w:style w:type="paragraph" w:styleId="ListBullet2">
    <w:name w:val="List Bullet 2"/>
    <w:basedOn w:val="List2"/>
    <w:rsid w:val="00683B12"/>
    <w:pPr>
      <w:numPr>
        <w:numId w:val="14"/>
      </w:numPr>
      <w:tabs>
        <w:tab w:val="clear" w:pos="680"/>
      </w:tabs>
    </w:pPr>
  </w:style>
  <w:style w:type="paragraph" w:customStyle="1" w:styleId="SuperHeading">
    <w:name w:val="SuperHeading"/>
    <w:basedOn w:val="Normal"/>
    <w:rsid w:val="00683B12"/>
    <w:pPr>
      <w:spacing w:before="240" w:after="120"/>
      <w:outlineLvl w:val="0"/>
    </w:pPr>
    <w:rPr>
      <w:rFonts w:ascii="Times New Roman" w:hAnsi="Times New Roman"/>
      <w:b/>
      <w:sz w:val="32"/>
    </w:rPr>
  </w:style>
  <w:style w:type="paragraph" w:customStyle="1" w:styleId="AllowPageBreak">
    <w:name w:val="AllowPageBreak"/>
    <w:rsid w:val="00683B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B12"/>
    <w:rPr>
      <w:rFonts w:ascii="Courier New" w:eastAsia="Times New Roman" w:hAnsi="Courier New" w:cs="Times New Roman"/>
      <w:i/>
      <w:szCs w:val="20"/>
      <w:lang w:eastAsia="en-US"/>
    </w:rPr>
  </w:style>
  <w:style w:type="paragraph" w:customStyle="1" w:styleId="HeadingBase">
    <w:name w:val="Heading Base"/>
    <w:rsid w:val="00683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B12"/>
    <w:pPr>
      <w:tabs>
        <w:tab w:val="right" w:leader="dot" w:pos="9072"/>
      </w:tabs>
      <w:ind w:left="567"/>
    </w:pPr>
    <w:rPr>
      <w:szCs w:val="22"/>
    </w:rPr>
  </w:style>
  <w:style w:type="paragraph" w:customStyle="1" w:styleId="TOCBase">
    <w:name w:val="TOC Base"/>
    <w:rsid w:val="00683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B12"/>
    <w:pPr>
      <w:tabs>
        <w:tab w:val="right" w:leader="dot" w:pos="9072"/>
      </w:tabs>
      <w:spacing w:before="40" w:after="40"/>
      <w:ind w:left="284"/>
    </w:pPr>
    <w:rPr>
      <w:rFonts w:ascii="Times New Roman" w:hAnsi="Times New Roman"/>
    </w:rPr>
  </w:style>
  <w:style w:type="paragraph" w:styleId="TOC1">
    <w:name w:val="toc 1"/>
    <w:basedOn w:val="TOCBase"/>
    <w:next w:val="Normal"/>
    <w:rsid w:val="00683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B12"/>
    <w:rPr>
      <w:rFonts w:ascii="Times New Roman" w:eastAsia="Times New Roman" w:hAnsi="Times New Roman" w:cs="Times New Roman"/>
      <w:sz w:val="16"/>
      <w:lang w:eastAsia="en-US"/>
    </w:rPr>
  </w:style>
  <w:style w:type="paragraph" w:styleId="Title">
    <w:name w:val="Title"/>
    <w:basedOn w:val="HeadingBase"/>
    <w:link w:val="TitleChar"/>
    <w:qFormat/>
    <w:rsid w:val="00683B12"/>
    <w:pPr>
      <w:spacing w:before="5040"/>
      <w:jc w:val="center"/>
    </w:pPr>
    <w:rPr>
      <w:sz w:val="48"/>
      <w:szCs w:val="72"/>
      <w:lang w:val="en-US"/>
    </w:rPr>
  </w:style>
  <w:style w:type="character" w:customStyle="1" w:styleId="TitleChar">
    <w:name w:val="Title Char"/>
    <w:basedOn w:val="DefaultParagraphFont"/>
    <w:link w:val="Title"/>
    <w:rsid w:val="00683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B12"/>
    <w:pPr>
      <w:tabs>
        <w:tab w:val="left" w:pos="3600"/>
        <w:tab w:val="left" w:pos="3958"/>
      </w:tabs>
    </w:pPr>
  </w:style>
  <w:style w:type="paragraph" w:styleId="List">
    <w:name w:val="List"/>
    <w:basedOn w:val="BodyText"/>
    <w:next w:val="BodyText"/>
    <w:rsid w:val="00683B12"/>
    <w:pPr>
      <w:tabs>
        <w:tab w:val="left" w:pos="340"/>
      </w:tabs>
      <w:spacing w:before="60" w:after="60"/>
      <w:ind w:left="340" w:hanging="340"/>
    </w:pPr>
  </w:style>
  <w:style w:type="paragraph" w:customStyle="1" w:styleId="Note">
    <w:name w:val="Note"/>
    <w:basedOn w:val="BodyText"/>
    <w:rsid w:val="00683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B12"/>
    <w:pPr>
      <w:framePr w:wrap="auto" w:hAnchor="text" w:y="6049"/>
    </w:pPr>
    <w:rPr>
      <w:color w:val="000000"/>
      <w:sz w:val="40"/>
    </w:rPr>
  </w:style>
  <w:style w:type="paragraph" w:customStyle="1" w:styleId="TOCTitle">
    <w:name w:val="TOCTitle"/>
    <w:basedOn w:val="Heading1"/>
    <w:rsid w:val="00683B12"/>
    <w:pPr>
      <w:spacing w:after="240"/>
      <w:jc w:val="center"/>
      <w:outlineLvl w:val="9"/>
    </w:pPr>
    <w:rPr>
      <w:caps/>
    </w:rPr>
  </w:style>
  <w:style w:type="paragraph" w:customStyle="1" w:styleId="Version">
    <w:name w:val="Version"/>
    <w:rsid w:val="00683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B12"/>
    <w:pPr>
      <w:keepNext w:val="0"/>
      <w:tabs>
        <w:tab w:val="right" w:pos="4176"/>
      </w:tabs>
      <w:ind w:left="198" w:hanging="198"/>
    </w:pPr>
    <w:rPr>
      <w:rFonts w:ascii="Garamond" w:hAnsi="Garamond"/>
    </w:rPr>
  </w:style>
  <w:style w:type="paragraph" w:styleId="IndexHeading">
    <w:name w:val="index heading"/>
    <w:basedOn w:val="Normal"/>
    <w:next w:val="Index1"/>
    <w:semiHidden/>
    <w:rsid w:val="00683B12"/>
    <w:pPr>
      <w:spacing w:before="120" w:after="120"/>
    </w:pPr>
    <w:rPr>
      <w:rFonts w:ascii="Arial" w:hAnsi="Arial"/>
      <w:b/>
      <w:color w:val="918585"/>
      <w:sz w:val="24"/>
    </w:rPr>
  </w:style>
  <w:style w:type="paragraph" w:styleId="Header">
    <w:name w:val="header"/>
    <w:basedOn w:val="Normal"/>
    <w:link w:val="HeaderChar"/>
    <w:rsid w:val="00683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B12"/>
    <w:rPr>
      <w:rFonts w:ascii="Times New Roman" w:eastAsia="Times New Roman" w:hAnsi="Times New Roman" w:cs="Times New Roman"/>
      <w:sz w:val="16"/>
      <w:szCs w:val="20"/>
      <w:lang w:val="en-GB" w:eastAsia="en-US"/>
    </w:rPr>
  </w:style>
  <w:style w:type="paragraph" w:customStyle="1" w:styleId="Chapter">
    <w:name w:val="Chapter"/>
    <w:basedOn w:val="Normal"/>
    <w:rsid w:val="00683B12"/>
    <w:pPr>
      <w:spacing w:before="240"/>
    </w:pPr>
    <w:rPr>
      <w:rFonts w:ascii="Times New Roman" w:hAnsi="Times New Roman"/>
      <w:smallCaps/>
      <w:spacing w:val="80"/>
      <w:sz w:val="28"/>
    </w:rPr>
  </w:style>
  <w:style w:type="paragraph" w:customStyle="1" w:styleId="InChapter">
    <w:name w:val="InChapter"/>
    <w:basedOn w:val="Heading3"/>
    <w:rsid w:val="00683B12"/>
    <w:pPr>
      <w:spacing w:after="240"/>
      <w:outlineLvl w:val="9"/>
    </w:pPr>
    <w:rPr>
      <w:noProof/>
    </w:rPr>
  </w:style>
  <w:style w:type="paragraph" w:styleId="Index2">
    <w:name w:val="index 2"/>
    <w:basedOn w:val="Normal"/>
    <w:next w:val="Normal"/>
    <w:semiHidden/>
    <w:rsid w:val="00683B12"/>
    <w:pPr>
      <w:tabs>
        <w:tab w:val="right" w:pos="4176"/>
      </w:tabs>
      <w:ind w:left="568" w:hanging="284"/>
    </w:pPr>
    <w:rPr>
      <w:rFonts w:ascii="Garamond" w:hAnsi="Garamond"/>
    </w:rPr>
  </w:style>
  <w:style w:type="paragraph" w:customStyle="1" w:styleId="Byline">
    <w:name w:val="Byline"/>
    <w:rsid w:val="00683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B12"/>
    <w:pPr>
      <w:tabs>
        <w:tab w:val="clear" w:pos="3600"/>
        <w:tab w:val="clear" w:pos="3958"/>
      </w:tabs>
      <w:jc w:val="right"/>
    </w:pPr>
  </w:style>
  <w:style w:type="character" w:styleId="Emphasis">
    <w:name w:val="Emphasis"/>
    <w:basedOn w:val="DefaultParagraphFont"/>
    <w:qFormat/>
    <w:rsid w:val="00683B12"/>
    <w:rPr>
      <w:i/>
    </w:rPr>
  </w:style>
  <w:style w:type="paragraph" w:styleId="Caption">
    <w:name w:val="caption"/>
    <w:basedOn w:val="BodyText"/>
    <w:next w:val="Normal"/>
    <w:qFormat/>
    <w:rsid w:val="00683B12"/>
    <w:pPr>
      <w:framePr w:w="2268" w:hSpace="181" w:vSpace="181" w:wrap="around" w:vAnchor="text" w:hAnchor="page" w:x="1135" w:y="285" w:anchorLock="1"/>
    </w:pPr>
    <w:rPr>
      <w:i/>
    </w:rPr>
  </w:style>
  <w:style w:type="paragraph" w:customStyle="1" w:styleId="MiniTOCTitle">
    <w:name w:val="MiniTOCTitle"/>
    <w:basedOn w:val="Heading4"/>
    <w:rsid w:val="00683B12"/>
    <w:pPr>
      <w:spacing w:before="240"/>
      <w:outlineLvl w:val="9"/>
    </w:pPr>
    <w:rPr>
      <w:noProof/>
      <w:sz w:val="24"/>
    </w:rPr>
  </w:style>
  <w:style w:type="paragraph" w:customStyle="1" w:styleId="MiniTOCItem">
    <w:name w:val="MiniTOCItem"/>
    <w:basedOn w:val="ListBullet"/>
    <w:rsid w:val="00683B12"/>
    <w:pPr>
      <w:numPr>
        <w:numId w:val="0"/>
      </w:numPr>
      <w:tabs>
        <w:tab w:val="right" w:leader="dot" w:pos="6521"/>
      </w:tabs>
      <w:spacing w:before="0" w:after="0"/>
    </w:pPr>
  </w:style>
  <w:style w:type="paragraph" w:customStyle="1" w:styleId="TOFTitle">
    <w:name w:val="TOFTitle"/>
    <w:basedOn w:val="TOCTitle"/>
    <w:rsid w:val="00683B12"/>
  </w:style>
  <w:style w:type="paragraph" w:styleId="TableofFigures">
    <w:name w:val="table of figures"/>
    <w:basedOn w:val="Normal"/>
    <w:next w:val="Normal"/>
    <w:semiHidden/>
    <w:rsid w:val="00683B12"/>
    <w:pPr>
      <w:tabs>
        <w:tab w:val="right" w:leader="dot" w:pos="9072"/>
      </w:tabs>
      <w:ind w:left="970" w:hanging="403"/>
    </w:pPr>
    <w:rPr>
      <w:rFonts w:ascii="Times New Roman" w:hAnsi="Times New Roman"/>
      <w:b/>
    </w:rPr>
  </w:style>
  <w:style w:type="paragraph" w:styleId="ListNumber">
    <w:name w:val="List Number"/>
    <w:basedOn w:val="List"/>
    <w:rsid w:val="00683B12"/>
    <w:pPr>
      <w:numPr>
        <w:numId w:val="11"/>
      </w:numPr>
    </w:pPr>
  </w:style>
  <w:style w:type="character" w:customStyle="1" w:styleId="WingdingSymbols">
    <w:name w:val="Wingding Symbols"/>
    <w:rsid w:val="00683B12"/>
    <w:rPr>
      <w:rFonts w:ascii="Wingdings" w:hAnsi="Wingdings"/>
    </w:rPr>
  </w:style>
  <w:style w:type="paragraph" w:customStyle="1" w:styleId="TableHeading">
    <w:name w:val="Table Heading"/>
    <w:basedOn w:val="HeadingBase"/>
    <w:rsid w:val="00683B12"/>
    <w:pPr>
      <w:keepLines/>
      <w:pBdr>
        <w:bottom w:val="single" w:sz="6" w:space="1" w:color="918585"/>
      </w:pBdr>
      <w:spacing w:before="240"/>
    </w:pPr>
  </w:style>
  <w:style w:type="character" w:customStyle="1" w:styleId="HotSpot">
    <w:name w:val="HotSpot"/>
    <w:rsid w:val="00683B12"/>
    <w:rPr>
      <w:color w:val="0033CC"/>
      <w:u w:val="none"/>
    </w:rPr>
  </w:style>
  <w:style w:type="paragraph" w:customStyle="1" w:styleId="BodyTextRight">
    <w:name w:val="Body Text Right"/>
    <w:basedOn w:val="BodyText"/>
    <w:rsid w:val="00683B12"/>
    <w:pPr>
      <w:spacing w:before="0" w:after="0"/>
      <w:jc w:val="right"/>
    </w:pPr>
  </w:style>
  <w:style w:type="paragraph" w:styleId="Index3">
    <w:name w:val="index 3"/>
    <w:basedOn w:val="ListNumber2"/>
    <w:next w:val="Normal"/>
    <w:semiHidden/>
    <w:rsid w:val="00683B12"/>
    <w:pPr>
      <w:numPr>
        <w:numId w:val="0"/>
      </w:numPr>
      <w:tabs>
        <w:tab w:val="right" w:leader="dot" w:pos="4176"/>
      </w:tabs>
    </w:pPr>
  </w:style>
  <w:style w:type="paragraph" w:styleId="ListNumber2">
    <w:name w:val="List Number 2"/>
    <w:basedOn w:val="List2"/>
    <w:rsid w:val="00683B12"/>
    <w:pPr>
      <w:numPr>
        <w:numId w:val="10"/>
      </w:numPr>
      <w:tabs>
        <w:tab w:val="clear" w:pos="1060"/>
      </w:tabs>
    </w:pPr>
  </w:style>
  <w:style w:type="paragraph" w:customStyle="1" w:styleId="MarginNote">
    <w:name w:val="Margin Note"/>
    <w:basedOn w:val="BodyText"/>
    <w:rsid w:val="00683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B12"/>
    <w:rPr>
      <w:sz w:val="32"/>
    </w:rPr>
  </w:style>
  <w:style w:type="paragraph" w:customStyle="1" w:styleId="HeadingProcedure">
    <w:name w:val="Heading Procedure"/>
    <w:basedOn w:val="HeadingBase"/>
    <w:next w:val="Normal"/>
    <w:rsid w:val="00683B12"/>
    <w:pPr>
      <w:tabs>
        <w:tab w:val="left" w:pos="0"/>
      </w:tabs>
      <w:spacing w:before="120" w:after="60"/>
    </w:pPr>
    <w:rPr>
      <w:i/>
      <w:color w:val="918585"/>
      <w:sz w:val="22"/>
    </w:rPr>
  </w:style>
  <w:style w:type="paragraph" w:customStyle="1" w:styleId="TableBodyText">
    <w:name w:val="Table Body Text"/>
    <w:basedOn w:val="BodyText"/>
    <w:rsid w:val="00683B12"/>
    <w:pPr>
      <w:spacing w:before="60" w:after="60"/>
    </w:pPr>
  </w:style>
  <w:style w:type="paragraph" w:styleId="ListContinue">
    <w:name w:val="List Continue"/>
    <w:basedOn w:val="List"/>
    <w:rsid w:val="00683B12"/>
    <w:pPr>
      <w:ind w:firstLine="0"/>
    </w:pPr>
  </w:style>
  <w:style w:type="paragraph" w:customStyle="1" w:styleId="ListNote">
    <w:name w:val="List Note"/>
    <w:basedOn w:val="List"/>
    <w:rsid w:val="00683B12"/>
    <w:pPr>
      <w:pBdr>
        <w:top w:val="single" w:sz="6" w:space="2" w:color="918585"/>
        <w:bottom w:val="single" w:sz="6" w:space="2" w:color="918585"/>
      </w:pBdr>
      <w:tabs>
        <w:tab w:val="left" w:pos="1021"/>
      </w:tabs>
      <w:ind w:firstLine="0"/>
    </w:pPr>
  </w:style>
  <w:style w:type="paragraph" w:customStyle="1" w:styleId="Warning">
    <w:name w:val="Warning"/>
    <w:basedOn w:val="BodyText"/>
    <w:rsid w:val="00683B12"/>
    <w:pPr>
      <w:shd w:val="clear" w:color="auto" w:fill="D9D9D9"/>
      <w:tabs>
        <w:tab w:val="left" w:pos="992"/>
      </w:tabs>
      <w:ind w:left="119" w:right="119"/>
    </w:pPr>
    <w:rPr>
      <w:sz w:val="20"/>
    </w:rPr>
  </w:style>
  <w:style w:type="paragraph" w:customStyle="1" w:styleId="MarginIcons">
    <w:name w:val="Margin Icons"/>
    <w:basedOn w:val="BodyText"/>
    <w:rsid w:val="00683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B12"/>
    <w:rPr>
      <w:rFonts w:ascii="Courier New" w:hAnsi="Courier New"/>
    </w:rPr>
  </w:style>
  <w:style w:type="paragraph" w:customStyle="1" w:styleId="NoteBullet">
    <w:name w:val="Note Bullet"/>
    <w:basedOn w:val="Note"/>
    <w:rsid w:val="00683B12"/>
    <w:pPr>
      <w:tabs>
        <w:tab w:val="clear" w:pos="680"/>
      </w:tabs>
      <w:spacing w:before="60" w:after="60"/>
    </w:pPr>
  </w:style>
  <w:style w:type="paragraph" w:customStyle="1" w:styleId="SubHeading2">
    <w:name w:val="SubHeading2"/>
    <w:basedOn w:val="HeadingBase"/>
    <w:rsid w:val="00683B12"/>
    <w:pPr>
      <w:spacing w:before="240" w:after="60"/>
    </w:pPr>
    <w:rPr>
      <w:sz w:val="20"/>
    </w:rPr>
  </w:style>
  <w:style w:type="paragraph" w:customStyle="1" w:styleId="SubHeading1">
    <w:name w:val="SubHeading1"/>
    <w:basedOn w:val="HeadingBase"/>
    <w:rsid w:val="00683B12"/>
    <w:pPr>
      <w:spacing w:before="240" w:after="60"/>
    </w:pPr>
    <w:rPr>
      <w:color w:val="918585"/>
      <w:sz w:val="22"/>
    </w:rPr>
  </w:style>
  <w:style w:type="paragraph" w:customStyle="1" w:styleId="SideHeading">
    <w:name w:val="Side Heading"/>
    <w:basedOn w:val="HeadingBase"/>
    <w:rsid w:val="00683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B12"/>
    <w:pPr>
      <w:numPr>
        <w:numId w:val="12"/>
      </w:numPr>
    </w:pPr>
  </w:style>
  <w:style w:type="paragraph" w:styleId="PlainText">
    <w:name w:val="Plain Text"/>
    <w:basedOn w:val="Normal"/>
    <w:link w:val="PlainTextChar"/>
    <w:rsid w:val="00683B12"/>
    <w:rPr>
      <w:sz w:val="20"/>
    </w:rPr>
  </w:style>
  <w:style w:type="character" w:customStyle="1" w:styleId="PlainTextChar">
    <w:name w:val="Plain Text Char"/>
    <w:basedOn w:val="DefaultParagraphFont"/>
    <w:link w:val="PlainText"/>
    <w:rsid w:val="00683B12"/>
    <w:rPr>
      <w:rFonts w:ascii="Courier New" w:eastAsia="Times New Roman" w:hAnsi="Courier New" w:cs="Times New Roman"/>
      <w:sz w:val="20"/>
      <w:szCs w:val="20"/>
      <w:lang w:eastAsia="en-US"/>
    </w:rPr>
  </w:style>
  <w:style w:type="character" w:customStyle="1" w:styleId="MenuOption">
    <w:name w:val="Menu Option"/>
    <w:basedOn w:val="DefaultParagraphFont"/>
    <w:rsid w:val="00683B12"/>
    <w:rPr>
      <w:b/>
      <w:smallCaps/>
    </w:rPr>
  </w:style>
  <w:style w:type="paragraph" w:customStyle="1" w:styleId="TableListNumber">
    <w:name w:val="Table List Number"/>
    <w:basedOn w:val="ListNumber"/>
    <w:rsid w:val="00683B12"/>
    <w:pPr>
      <w:numPr>
        <w:numId w:val="0"/>
      </w:numPr>
    </w:pPr>
  </w:style>
  <w:style w:type="paragraph" w:styleId="TOC4">
    <w:name w:val="toc 4"/>
    <w:basedOn w:val="TOCBase"/>
    <w:next w:val="Normal"/>
    <w:semiHidden/>
    <w:rsid w:val="00683B12"/>
    <w:pPr>
      <w:tabs>
        <w:tab w:val="right" w:leader="dot" w:pos="9071"/>
      </w:tabs>
      <w:ind w:left="1701"/>
    </w:pPr>
  </w:style>
  <w:style w:type="paragraph" w:customStyle="1" w:styleId="ListAlpha">
    <w:name w:val="List Alpha"/>
    <w:basedOn w:val="List"/>
    <w:rsid w:val="00683B12"/>
    <w:pPr>
      <w:numPr>
        <w:numId w:val="9"/>
      </w:numPr>
    </w:pPr>
  </w:style>
  <w:style w:type="paragraph" w:customStyle="1" w:styleId="ListAlpha2">
    <w:name w:val="List Alpha 2"/>
    <w:basedOn w:val="List2"/>
    <w:rsid w:val="00683B12"/>
    <w:pPr>
      <w:numPr>
        <w:numId w:val="8"/>
      </w:numPr>
    </w:pPr>
  </w:style>
  <w:style w:type="paragraph" w:styleId="List2">
    <w:name w:val="List 2"/>
    <w:basedOn w:val="BodyText"/>
    <w:rsid w:val="00683B12"/>
    <w:pPr>
      <w:tabs>
        <w:tab w:val="left" w:pos="680"/>
      </w:tabs>
      <w:spacing w:before="60" w:after="60"/>
      <w:ind w:left="680" w:hanging="340"/>
    </w:pPr>
  </w:style>
  <w:style w:type="paragraph" w:styleId="List3">
    <w:name w:val="List 3"/>
    <w:basedOn w:val="BodyText"/>
    <w:rsid w:val="00683B12"/>
    <w:pPr>
      <w:tabs>
        <w:tab w:val="left" w:pos="1021"/>
      </w:tabs>
      <w:spacing w:before="60" w:after="60"/>
      <w:ind w:left="1020" w:hanging="340"/>
    </w:pPr>
  </w:style>
  <w:style w:type="paragraph" w:styleId="List4">
    <w:name w:val="List 4"/>
    <w:basedOn w:val="BodyText"/>
    <w:rsid w:val="00683B12"/>
    <w:pPr>
      <w:tabs>
        <w:tab w:val="left" w:pos="1361"/>
      </w:tabs>
      <w:spacing w:before="60" w:after="60"/>
      <w:ind w:left="1361" w:hanging="340"/>
    </w:pPr>
  </w:style>
  <w:style w:type="paragraph" w:styleId="List5">
    <w:name w:val="List 5"/>
    <w:basedOn w:val="BodyText"/>
    <w:rsid w:val="00683B12"/>
    <w:pPr>
      <w:tabs>
        <w:tab w:val="left" w:pos="1701"/>
      </w:tabs>
      <w:spacing w:before="60" w:after="60"/>
      <w:ind w:left="1701" w:hanging="340"/>
    </w:pPr>
  </w:style>
  <w:style w:type="paragraph" w:styleId="ListBullet3">
    <w:name w:val="List Bullet 3"/>
    <w:basedOn w:val="List3"/>
    <w:rsid w:val="00683B12"/>
    <w:pPr>
      <w:numPr>
        <w:numId w:val="15"/>
      </w:numPr>
      <w:tabs>
        <w:tab w:val="clear" w:pos="1021"/>
      </w:tabs>
      <w:ind w:left="1037" w:hanging="357"/>
    </w:pPr>
  </w:style>
  <w:style w:type="paragraph" w:styleId="ListBullet4">
    <w:name w:val="List Bullet 4"/>
    <w:basedOn w:val="List4"/>
    <w:rsid w:val="00683B12"/>
    <w:pPr>
      <w:numPr>
        <w:numId w:val="3"/>
      </w:numPr>
      <w:tabs>
        <w:tab w:val="clear" w:pos="1361"/>
      </w:tabs>
    </w:pPr>
  </w:style>
  <w:style w:type="paragraph" w:styleId="ListBullet5">
    <w:name w:val="List Bullet 5"/>
    <w:basedOn w:val="List5"/>
    <w:rsid w:val="00683B12"/>
    <w:pPr>
      <w:numPr>
        <w:numId w:val="4"/>
      </w:numPr>
    </w:pPr>
  </w:style>
  <w:style w:type="paragraph" w:styleId="ListContinue2">
    <w:name w:val="List Continue 2"/>
    <w:basedOn w:val="List2"/>
    <w:rsid w:val="00683B12"/>
    <w:pPr>
      <w:ind w:firstLine="0"/>
    </w:pPr>
  </w:style>
  <w:style w:type="paragraph" w:styleId="ListContinue3">
    <w:name w:val="List Continue 3"/>
    <w:basedOn w:val="List3"/>
    <w:rsid w:val="00683B12"/>
    <w:pPr>
      <w:ind w:left="1021" w:firstLine="0"/>
    </w:pPr>
  </w:style>
  <w:style w:type="paragraph" w:styleId="ListContinue4">
    <w:name w:val="List Continue 4"/>
    <w:basedOn w:val="List4"/>
    <w:rsid w:val="00683B12"/>
    <w:pPr>
      <w:ind w:firstLine="0"/>
    </w:pPr>
  </w:style>
  <w:style w:type="paragraph" w:styleId="ListContinue5">
    <w:name w:val="List Continue 5"/>
    <w:basedOn w:val="List5"/>
    <w:rsid w:val="00683B12"/>
    <w:pPr>
      <w:ind w:firstLine="0"/>
    </w:pPr>
  </w:style>
  <w:style w:type="paragraph" w:styleId="ListNumber3">
    <w:name w:val="List Number 3"/>
    <w:basedOn w:val="List3"/>
    <w:rsid w:val="00683B12"/>
    <w:pPr>
      <w:numPr>
        <w:numId w:val="5"/>
      </w:numPr>
    </w:pPr>
  </w:style>
  <w:style w:type="paragraph" w:styleId="ListNumber4">
    <w:name w:val="List Number 4"/>
    <w:basedOn w:val="List4"/>
    <w:rsid w:val="00683B12"/>
    <w:pPr>
      <w:numPr>
        <w:numId w:val="6"/>
      </w:numPr>
    </w:pPr>
  </w:style>
  <w:style w:type="paragraph" w:styleId="ListNumber5">
    <w:name w:val="List Number 5"/>
    <w:basedOn w:val="List5"/>
    <w:rsid w:val="00683B12"/>
    <w:pPr>
      <w:numPr>
        <w:numId w:val="7"/>
      </w:numPr>
    </w:pPr>
  </w:style>
  <w:style w:type="paragraph" w:styleId="BlockText">
    <w:name w:val="Block Text"/>
    <w:basedOn w:val="Normal"/>
    <w:rsid w:val="00683B12"/>
    <w:pPr>
      <w:spacing w:after="120"/>
      <w:ind w:left="1440" w:right="1440"/>
    </w:pPr>
  </w:style>
  <w:style w:type="character" w:customStyle="1" w:styleId="Subscript">
    <w:name w:val="Subscript"/>
    <w:basedOn w:val="DefaultParagraphFont"/>
    <w:rsid w:val="00683B12"/>
    <w:rPr>
      <w:sz w:val="16"/>
      <w:vertAlign w:val="subscript"/>
    </w:rPr>
  </w:style>
  <w:style w:type="character" w:customStyle="1" w:styleId="Superscript">
    <w:name w:val="Superscript"/>
    <w:basedOn w:val="DefaultParagraphFont"/>
    <w:rsid w:val="00683B12"/>
    <w:rPr>
      <w:sz w:val="16"/>
      <w:vertAlign w:val="superscript"/>
    </w:rPr>
  </w:style>
  <w:style w:type="character" w:customStyle="1" w:styleId="Symbols">
    <w:name w:val="Symbols"/>
    <w:basedOn w:val="DefaultParagraphFont"/>
    <w:rsid w:val="00683B12"/>
    <w:rPr>
      <w:rFonts w:ascii="Symbol" w:hAnsi="Symbol"/>
    </w:rPr>
  </w:style>
  <w:style w:type="character" w:customStyle="1" w:styleId="MenuOptions">
    <w:name w:val="Menu Options"/>
    <w:basedOn w:val="DefaultParagraphFont"/>
    <w:rsid w:val="00683B12"/>
    <w:rPr>
      <w:rFonts w:ascii="Arial Narrow" w:hAnsi="Arial Narrow"/>
      <w:smallCaps/>
    </w:rPr>
  </w:style>
  <w:style w:type="character" w:customStyle="1" w:styleId="Buttons">
    <w:name w:val="Buttons"/>
    <w:basedOn w:val="DefaultParagraphFont"/>
    <w:rsid w:val="00683B12"/>
    <w:rPr>
      <w:b/>
    </w:rPr>
  </w:style>
  <w:style w:type="character" w:customStyle="1" w:styleId="Underlined">
    <w:name w:val="Underlined"/>
    <w:basedOn w:val="DefaultParagraphFont"/>
    <w:rsid w:val="00683B12"/>
    <w:rPr>
      <w:u w:val="single"/>
    </w:rPr>
  </w:style>
  <w:style w:type="paragraph" w:customStyle="1" w:styleId="TableBodyTextRight">
    <w:name w:val="Table Body Text Right"/>
    <w:basedOn w:val="TableBodyText"/>
    <w:rsid w:val="00683B12"/>
    <w:pPr>
      <w:widowControl w:val="0"/>
      <w:autoSpaceDE w:val="0"/>
      <w:autoSpaceDN w:val="0"/>
      <w:adjustRightInd w:val="0"/>
      <w:jc w:val="right"/>
    </w:pPr>
    <w:rPr>
      <w:rFonts w:cs="Arial"/>
      <w:szCs w:val="18"/>
    </w:rPr>
  </w:style>
  <w:style w:type="paragraph" w:customStyle="1" w:styleId="CopyrightText">
    <w:name w:val="Copyright Text"/>
    <w:basedOn w:val="BodyText"/>
    <w:rsid w:val="00683B12"/>
    <w:rPr>
      <w:sz w:val="18"/>
    </w:rPr>
  </w:style>
  <w:style w:type="paragraph" w:customStyle="1" w:styleId="BodySmallRight">
    <w:name w:val="Body Small Right"/>
    <w:basedOn w:val="BodyTextRight"/>
    <w:rsid w:val="00683B12"/>
    <w:rPr>
      <w:sz w:val="18"/>
      <w:szCs w:val="18"/>
    </w:rPr>
  </w:style>
  <w:style w:type="paragraph" w:customStyle="1" w:styleId="MarginEdition">
    <w:name w:val="Margin Edition"/>
    <w:basedOn w:val="MarginNote"/>
    <w:rsid w:val="00683B12"/>
    <w:pPr>
      <w:spacing w:before="0" w:after="0"/>
    </w:pPr>
    <w:rPr>
      <w:rFonts w:ascii="Times New Roman" w:hAnsi="Times New Roman"/>
      <w:color w:val="999999"/>
    </w:rPr>
  </w:style>
  <w:style w:type="paragraph" w:customStyle="1" w:styleId="Spacer">
    <w:name w:val="Spacer"/>
    <w:basedOn w:val="Normal"/>
    <w:rsid w:val="00683B12"/>
    <w:rPr>
      <w:sz w:val="2"/>
      <w:szCs w:val="2"/>
    </w:rPr>
  </w:style>
  <w:style w:type="character" w:customStyle="1" w:styleId="Small">
    <w:name w:val="Small"/>
    <w:basedOn w:val="DefaultParagraphFont"/>
    <w:rsid w:val="00683B12"/>
    <w:rPr>
      <w:sz w:val="16"/>
    </w:rPr>
  </w:style>
  <w:style w:type="paragraph" w:customStyle="1" w:styleId="WideTable">
    <w:name w:val="Wide Table"/>
    <w:basedOn w:val="Normal"/>
    <w:rsid w:val="00683B12"/>
    <w:pPr>
      <w:ind w:left="-1418"/>
    </w:pPr>
    <w:rPr>
      <w:sz w:val="2"/>
      <w:szCs w:val="2"/>
    </w:rPr>
  </w:style>
  <w:style w:type="character" w:styleId="PageNumber">
    <w:name w:val="page number"/>
    <w:basedOn w:val="DefaultParagraphFont"/>
    <w:rsid w:val="00683B12"/>
  </w:style>
  <w:style w:type="paragraph" w:styleId="Quote">
    <w:name w:val="Quote"/>
    <w:basedOn w:val="Heading1"/>
    <w:link w:val="QuoteChar"/>
    <w:qFormat/>
    <w:rsid w:val="00683B12"/>
    <w:rPr>
      <w:b w:val="0"/>
      <w:sz w:val="72"/>
      <w:szCs w:val="72"/>
      <w:lang w:val="en-NZ"/>
    </w:rPr>
  </w:style>
  <w:style w:type="character" w:customStyle="1" w:styleId="QuoteChar">
    <w:name w:val="Quote Char"/>
    <w:basedOn w:val="DefaultParagraphFont"/>
    <w:link w:val="Quote"/>
    <w:rsid w:val="00683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B12"/>
    <w:pPr>
      <w:pageBreakBefore/>
    </w:pPr>
  </w:style>
  <w:style w:type="paragraph" w:customStyle="1" w:styleId="Border">
    <w:name w:val="Border"/>
    <w:basedOn w:val="Normal"/>
    <w:qFormat/>
    <w:rsid w:val="00683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B12"/>
    <w:rPr>
      <w:b/>
      <w:bCs/>
      <w:i/>
      <w:iCs/>
      <w:color w:val="auto"/>
    </w:rPr>
  </w:style>
  <w:style w:type="paragraph" w:styleId="IntenseQuote">
    <w:name w:val="Intense Quote"/>
    <w:basedOn w:val="Normal"/>
    <w:next w:val="Normal"/>
    <w:link w:val="IntenseQuoteChar"/>
    <w:uiPriority w:val="30"/>
    <w:qFormat/>
    <w:rsid w:val="00683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B12"/>
    <w:rPr>
      <w:smallCaps/>
      <w:color w:val="auto"/>
      <w:u w:val="single"/>
    </w:rPr>
  </w:style>
  <w:style w:type="character" w:styleId="IntenseReference">
    <w:name w:val="Intense Reference"/>
    <w:basedOn w:val="DefaultParagraphFont"/>
    <w:uiPriority w:val="32"/>
    <w:qFormat/>
    <w:rsid w:val="00683B12"/>
    <w:rPr>
      <w:b/>
      <w:bCs/>
      <w:smallCaps/>
      <w:color w:val="auto"/>
      <w:spacing w:val="5"/>
      <w:u w:val="single"/>
    </w:rPr>
  </w:style>
  <w:style w:type="paragraph" w:customStyle="1" w:styleId="2ColumnHeading">
    <w:name w:val="2Column Heading"/>
    <w:basedOn w:val="BodyText"/>
    <w:qFormat/>
    <w:rsid w:val="00683B12"/>
    <w:pPr>
      <w:spacing w:after="60"/>
      <w:ind w:left="-2268"/>
    </w:pPr>
    <w:rPr>
      <w:b/>
    </w:rPr>
  </w:style>
  <w:style w:type="paragraph" w:customStyle="1" w:styleId="Heading1TOC">
    <w:name w:val="Heading1 TOC"/>
    <w:basedOn w:val="Normal"/>
    <w:qFormat/>
    <w:rsid w:val="00683B12"/>
    <w:pPr>
      <w:spacing w:before="240" w:after="120"/>
    </w:pPr>
    <w:rPr>
      <w:rFonts w:ascii="Times New Roman" w:hAnsi="Times New Roman"/>
      <w:b/>
      <w:sz w:val="32"/>
    </w:rPr>
  </w:style>
  <w:style w:type="paragraph" w:customStyle="1" w:styleId="Heading2TOC">
    <w:name w:val="Heading2 TOC"/>
    <w:basedOn w:val="Normal"/>
    <w:qFormat/>
    <w:rsid w:val="00683B12"/>
    <w:pPr>
      <w:spacing w:before="240" w:after="60"/>
    </w:pPr>
    <w:rPr>
      <w:rFonts w:ascii="Times New Roman" w:hAnsi="Times New Roman"/>
      <w:b/>
      <w:sz w:val="28"/>
    </w:rPr>
  </w:style>
  <w:style w:type="character" w:customStyle="1" w:styleId="Underline">
    <w:name w:val="Underline"/>
    <w:basedOn w:val="DefaultParagraphFont"/>
    <w:qFormat/>
    <w:rsid w:val="00683B12"/>
    <w:rPr>
      <w:u w:val="single"/>
    </w:rPr>
  </w:style>
  <w:style w:type="character" w:customStyle="1" w:styleId="BoldandItalics">
    <w:name w:val="Bold and Italics"/>
    <w:qFormat/>
    <w:rsid w:val="00683B12"/>
    <w:rPr>
      <w:b/>
      <w:i/>
      <w:u w:val="none"/>
    </w:rPr>
  </w:style>
  <w:style w:type="paragraph" w:styleId="BalloonText">
    <w:name w:val="Balloon Text"/>
    <w:basedOn w:val="Normal"/>
    <w:link w:val="BalloonTextChar"/>
    <w:rsid w:val="00683B12"/>
    <w:rPr>
      <w:rFonts w:ascii="Tahoma" w:hAnsi="Tahoma" w:cs="Tahoma"/>
      <w:sz w:val="16"/>
      <w:szCs w:val="16"/>
    </w:rPr>
  </w:style>
  <w:style w:type="character" w:customStyle="1" w:styleId="BalloonTextChar">
    <w:name w:val="Balloon Text Char"/>
    <w:basedOn w:val="DefaultParagraphFont"/>
    <w:link w:val="BalloonText"/>
    <w:rsid w:val="00683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B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3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B12"/>
    <w:rPr>
      <w:b/>
      <w:color w:val="660033"/>
      <w:spacing w:val="0"/>
    </w:rPr>
  </w:style>
  <w:style w:type="paragraph" w:customStyle="1" w:styleId="Nameditemlist">
    <w:name w:val="Named item list"/>
    <w:basedOn w:val="BodyText"/>
    <w:qFormat/>
    <w:rsid w:val="00683B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5379</Characters>
  <Application>Microsoft Office Word</Application>
  <DocSecurity>0</DocSecurity>
  <Lines>233</Lines>
  <Paragraphs>120</Paragraphs>
  <ScaleCrop>false</ScaleCrop>
  <Company>Author-it Software Corporation Ltd.</Company>
  <LinksUpToDate>false</LinksUpToDate>
  <CharactersWithSpaces>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MSFGG3012 Set up and operate glass mirroring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2016-12-09T03:57:00Z</dcterms:created>
  <dcterms:modified xsi:type="dcterms:W3CDTF">2016-12-09T03:57:00Z</dcterms:modified>
</cp:coreProperties>
</file>