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D26" w:rsidP="00B15D26">
      <w:pPr>
        <w:pStyle w:val="Title"/>
      </w:pPr>
      <w:r>
        <w:fldChar w:fldCharType="begin"/>
      </w:r>
      <w:r>
        <w:instrText xml:space="preserve"> TITLE   \* MERGEFORMAT </w:instrText>
      </w:r>
      <w:r>
        <w:fldChar w:fldCharType="separate"/>
      </w:r>
      <w:r>
        <w:t>MSFGG3004 Process thick glass</w:t>
      </w:r>
      <w:r>
        <w:fldChar w:fldCharType="end"/>
      </w:r>
    </w:p>
    <w:p w:rsidR="00B15D26" w:rsidP="00B15D26">
      <w:pPr>
        <w:pStyle w:val="Version"/>
        <w:sectPr w:rsidSect="00BA4C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C5A" w:rsidP="00BA4C5A">
      <w:pPr>
        <w:pStyle w:val="SuperHeading"/>
      </w:pPr>
      <w:r w:rsidRPr="00BA4C5A">
        <w:t>MSFGG3004 Process thick glass</w:t>
      </w:r>
    </w:p>
    <w:p w:rsidR="00000000" w:rsidRPr="00BA4C5A" w:rsidP="00BA4C5A">
      <w:pPr>
        <w:pStyle w:val="Heading1"/>
      </w:pPr>
      <w:bookmarkStart w:id="1" w:name="O_632246"/>
      <w:bookmarkEnd w:id="1"/>
      <w:r w:rsidRPr="00BA4C5A">
        <w:t>Modification History</w:t>
      </w:r>
    </w:p>
    <w:p w:rsidR="00000000" w:rsidRPr="00BA4C5A" w:rsidP="00BA4C5A">
      <w:pPr>
        <w:pStyle w:val="BodyText"/>
      </w:pPr>
      <w:r w:rsidRPr="00BA4C5A">
        <w:t>Release 1 - New unit of competency</w:t>
      </w:r>
    </w:p>
    <w:p w:rsidR="00000000" w:rsidRPr="00BA4C5A" w:rsidP="00BA4C5A">
      <w:pPr>
        <w:pStyle w:val="AllowPageBreak"/>
      </w:pPr>
    </w:p>
    <w:p w:rsidR="00000000" w:rsidRPr="00BA4C5A" w:rsidP="00BA4C5A">
      <w:pPr>
        <w:pStyle w:val="Heading1"/>
      </w:pPr>
      <w:bookmarkStart w:id="2" w:name="O_632254"/>
      <w:bookmarkEnd w:id="2"/>
      <w:r w:rsidRPr="00BA4C5A">
        <w:t>Application</w:t>
      </w:r>
    </w:p>
    <w:p w:rsidR="00000000" w:rsidRPr="00BA4C5A" w:rsidP="00BA4C5A">
      <w:pPr>
        <w:pStyle w:val="BodyText"/>
      </w:pPr>
      <w:r w:rsidRPr="00BA4C5A">
        <w:t xml:space="preserve">This unit of competency covers cutting, shaping, drilling and edging annealed and laminated glass, which is 12 mm thick and over. It involves the planning, preparation and processing of thick </w:t>
      </w:r>
      <w:r w:rsidRPr="00BA4C5A">
        <w:t xml:space="preserve">glass sheet. </w:t>
      </w:r>
    </w:p>
    <w:p w:rsidR="00000000" w:rsidRPr="00BA4C5A" w:rsidP="00BA4C5A">
      <w:pPr>
        <w:pStyle w:val="BodyText"/>
      </w:pPr>
    </w:p>
    <w:p w:rsidR="00000000" w:rsidRPr="00BA4C5A" w:rsidP="00BA4C5A">
      <w:pPr>
        <w:pStyle w:val="BodyText"/>
      </w:pPr>
      <w:r w:rsidRPr="00BA4C5A">
        <w:t>No licensing, legislative or certification requirements apply to this unit at the time of publication.</w:t>
      </w:r>
    </w:p>
    <w:p w:rsidR="00000000" w:rsidRPr="00BA4C5A" w:rsidP="00BA4C5A">
      <w:pPr>
        <w:pStyle w:val="AllowPageBreak"/>
      </w:pPr>
    </w:p>
    <w:p w:rsidR="00000000" w:rsidRPr="00BA4C5A" w:rsidP="00BA4C5A">
      <w:pPr>
        <w:pStyle w:val="Heading1"/>
      </w:pPr>
      <w:bookmarkStart w:id="3" w:name="O_632253"/>
      <w:bookmarkEnd w:id="3"/>
      <w:r w:rsidRPr="00BA4C5A">
        <w:t>Pre-requisite Unit</w:t>
      </w:r>
    </w:p>
    <w:p w:rsidR="00000000" w:rsidRPr="00BA4C5A" w:rsidP="00BA4C5A">
      <w:pPr>
        <w:pStyle w:val="Heading1"/>
      </w:pPr>
      <w:bookmarkStart w:id="4" w:name="O_632252"/>
      <w:bookmarkEnd w:id="4"/>
      <w:r w:rsidRPr="00BA4C5A">
        <w:t>Competency Field</w:t>
      </w:r>
    </w:p>
    <w:p w:rsidR="00000000" w:rsidRPr="00BA4C5A" w:rsidP="00BA4C5A">
      <w:pPr>
        <w:pStyle w:val="Heading1"/>
      </w:pPr>
      <w:bookmarkStart w:id="5" w:name="O_632251"/>
      <w:bookmarkEnd w:id="5"/>
      <w:r w:rsidRPr="00BA4C5A">
        <w:t>Unit Sector</w:t>
      </w:r>
    </w:p>
    <w:p w:rsidR="00000000" w:rsidRPr="00BA4C5A" w:rsidP="00BA4C5A">
      <w:pPr>
        <w:pStyle w:val="BodyText"/>
      </w:pPr>
      <w:r w:rsidRPr="00BA4C5A">
        <w:t>Glass and Glazing</w:t>
      </w:r>
    </w:p>
    <w:p w:rsidR="00000000" w:rsidRPr="00BA4C5A" w:rsidP="00BA4C5A">
      <w:pPr>
        <w:pStyle w:val="AllowPageBreak"/>
      </w:pPr>
    </w:p>
    <w:p w:rsidR="00000000" w:rsidRPr="00BA4C5A" w:rsidP="00BA4C5A">
      <w:pPr>
        <w:pStyle w:val="Heading1"/>
      </w:pPr>
      <w:bookmarkStart w:id="6" w:name="O_632250"/>
      <w:bookmarkEnd w:id="6"/>
      <w:r w:rsidRPr="00BA4C5A">
        <w:t>Elemen</w:t>
      </w:r>
      <w:r w:rsidRPr="00BA4C5A">
        <w:t>ts and Performance Criteria</w:t>
      </w:r>
    </w:p>
    <w:tbl>
      <w:tblPr>
        <w:tblW w:w="9286" w:type="dxa"/>
        <w:tblLayout w:type="fixed"/>
        <w:tblCellMar>
          <w:left w:w="62" w:type="dxa"/>
          <w:right w:w="62" w:type="dxa"/>
        </w:tblCellMar>
        <w:tblLook w:val="0000"/>
      </w:tblPr>
      <w:tblGrid>
        <w:gridCol w:w="540"/>
        <w:gridCol w:w="2219"/>
        <w:gridCol w:w="683"/>
        <w:gridCol w:w="5844"/>
      </w:tblGrid>
      <w:tr w:rsidTr="00BA4C5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Performance criteria describe the performance needed to demonstrate achievement of the element.</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1</w:t>
            </w:r>
          </w:p>
        </w:tc>
        <w:tc>
          <w:tcPr>
            <w:tcW w:w="2219"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Identify work requirements</w:t>
            </w: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1.1</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Work requirements for processing thick glass, including materials, types of cuts, shapes and edges, processes and quantities required, are identified from work instructions or job order in accordance with workplace procedures</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1.2</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 xml:space="preserve">Work health and safety </w:t>
            </w:r>
            <w:r w:rsidRPr="00BA4C5A">
              <w:t>(WHS) requirements, including personal protective equipment, are observed throughout the work</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1.3</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Tools, equipment and materials are selected and checked prior to use to ensure they are appropriate for the work, serviceable and in a safe condition</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1.4</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Cutting list and quality standards are determined and procedures identified in accordance with workplace requirements and industry standards</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1.5</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Glass to be cut, shaped, drilled or edged is selected using information from the work order, including t</w:t>
            </w:r>
            <w:r w:rsidRPr="00BA4C5A">
              <w:t>ype of glass, thickness, colour and dimensions</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1.6</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Machines, equipment and settings required to perform the work are identified</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2</w:t>
            </w:r>
          </w:p>
        </w:tc>
        <w:tc>
          <w:tcPr>
            <w:tcW w:w="2219"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Prepare for work</w:t>
            </w: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2.1</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Sequence of work is planned to ensure processing is conducted in a logical order</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2.2</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Suitable cutting, shaping, drilling, edging and lubrication methods are selected</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2.3</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Glass processing table is selected and work surface is cleared of debris and dust</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2.4</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Work area is cleared of obstructions and potential hazards with cullet bins loc</w:t>
            </w:r>
            <w:r w:rsidRPr="00BA4C5A">
              <w:t>ated close to work area</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2.5</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Glass is checked for imperfections and damage prior to handling</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2.6</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Glass to be processed is located in the work area using correct manual handling procedures</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2.7</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Glass is measured accurately to minimise waste and within specified tolerances according to enterprise standards</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2.8</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Components and controls of machines, including emergency stops and guards, are identified and tested for working order</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3</w:t>
            </w:r>
          </w:p>
        </w:tc>
        <w:tc>
          <w:tcPr>
            <w:tcW w:w="2219"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Process glass</w:t>
            </w: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3.1</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Tools and equipment are operated and monitored in accordance with manufacturer instructions and workplace procedures to ensure correct product quality and output</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3.2</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Glass is processed to required standard in accordance with job order, work instruct</w:t>
            </w:r>
            <w:r w:rsidRPr="00BA4C5A">
              <w:t>ions and procedures, including the performance of routine lubrication and adjustments of machines/equipment</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3.3</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Problems occurring during work operations are identified and reported to appropriate persons, and any authorised changes in working procedures followed</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3.4</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Completed product is inspected for quality of work and repaired, reprocessed or discarded in acco</w:t>
            </w:r>
            <w:r w:rsidRPr="00BA4C5A">
              <w:t>rdance with workplace procedures</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4</w:t>
            </w:r>
          </w:p>
        </w:tc>
        <w:tc>
          <w:tcPr>
            <w:tcW w:w="2219"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Complete work</w:t>
            </w: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4.1</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Processed glass is labelled and stored following workplace procedures ensuring there are no projections</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4.2</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Scraps and off-cuts are removed for disposal or recycling, as required</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4.3</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Work area is cleaned and rubbish disposed of, as appropriate</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4.4</w:t>
            </w:r>
          </w:p>
        </w:tc>
        <w:tc>
          <w:tcPr>
            <w:tcW w:w="5844"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Tools, equipment and unused materials are removed and stored appropriately</w:t>
            </w:r>
          </w:p>
        </w:tc>
      </w:tr>
      <w:tr w:rsidTr="00BA4C5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4.5</w:t>
            </w:r>
          </w:p>
        </w:tc>
        <w:tc>
          <w:tcPr>
            <w:tcW w:w="5844" w:type="dxa"/>
            <w:tcBorders>
              <w:top w:val="nil"/>
              <w:left w:val="nil"/>
              <w:bottom w:val="nil"/>
              <w:right w:val="nil"/>
            </w:tcBorders>
            <w:tcMar>
              <w:top w:w="0" w:type="dxa"/>
              <w:left w:w="62" w:type="dxa"/>
              <w:bottom w:w="0" w:type="dxa"/>
              <w:right w:w="62" w:type="dxa"/>
            </w:tcMar>
          </w:tcPr>
          <w:p w:rsidR="00000000" w:rsidRPr="00BA4C5A" w:rsidP="00BA4C5A">
            <w:pPr>
              <w:pStyle w:val="BodyText"/>
            </w:pPr>
            <w:r w:rsidRPr="00BA4C5A">
              <w:t>Workplace documentation is completed, as required</w:t>
            </w:r>
          </w:p>
        </w:tc>
      </w:tr>
    </w:tbl>
    <w:p w:rsidR="00000000" w:rsidRPr="00BA4C5A" w:rsidP="00BA4C5A">
      <w:pPr>
        <w:pStyle w:val="BodyText"/>
      </w:pPr>
    </w:p>
    <w:p w:rsidR="00000000" w:rsidRPr="00BA4C5A" w:rsidP="00BA4C5A">
      <w:pPr>
        <w:pStyle w:val="AllowPageBreak"/>
      </w:pPr>
    </w:p>
    <w:p w:rsidR="00000000" w:rsidRPr="00BA4C5A" w:rsidP="00BA4C5A">
      <w:pPr>
        <w:pStyle w:val="Heading1"/>
      </w:pPr>
      <w:bookmarkStart w:id="7" w:name="O_632249"/>
      <w:bookmarkEnd w:id="7"/>
      <w:r w:rsidRPr="00BA4C5A">
        <w:t>Foundation Skills</w:t>
      </w:r>
    </w:p>
    <w:p w:rsidR="00000000" w:rsidRPr="00BA4C5A" w:rsidP="00BA4C5A">
      <w:pPr>
        <w:pStyle w:val="BodyText"/>
      </w:pPr>
      <w:r w:rsidRPr="00BA4C5A">
        <w:t>Foundation skills e</w:t>
      </w:r>
      <w:r w:rsidRPr="00BA4C5A">
        <w:t xml:space="preserve">ssential to performance are explicit in the performance criteria of this unit of competency. Detail on appropriate performance levels for each furnishing unit of competency in reading, writing, oral communication and numeracy utilising the Australian Core </w:t>
      </w:r>
      <w:r w:rsidRPr="00BA4C5A">
        <w:t>Skills Framework (ACSF) are provided in the Furnishing Training Package Implementation Guide.</w:t>
      </w:r>
    </w:p>
    <w:p w:rsidR="00000000" w:rsidRPr="00BA4C5A" w:rsidP="00BA4C5A">
      <w:pPr>
        <w:pStyle w:val="AllowPageBreak"/>
      </w:pPr>
    </w:p>
    <w:p w:rsidR="00000000" w:rsidRPr="00BA4C5A" w:rsidP="00BA4C5A">
      <w:pPr>
        <w:pStyle w:val="Heading1"/>
      </w:pPr>
      <w:bookmarkStart w:id="8" w:name="O_632248"/>
      <w:bookmarkEnd w:id="8"/>
      <w:r w:rsidRPr="00BA4C5A">
        <w:t>Range of Conditions</w:t>
      </w:r>
    </w:p>
    <w:tbl>
      <w:tblPr>
        <w:tblW w:w="0" w:type="auto"/>
        <w:tblLayout w:type="fixed"/>
        <w:tblCellMar>
          <w:left w:w="62" w:type="dxa"/>
          <w:right w:w="62" w:type="dxa"/>
        </w:tblCellMar>
        <w:tblLook w:val="0000"/>
      </w:tblPr>
      <w:tblGrid>
        <w:gridCol w:w="2760"/>
        <w:gridCol w:w="6312"/>
      </w:tblGrid>
      <w:tr w:rsidTr="00BA4C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t xml:space="preserve">Specifies different work environments and conditions that may affect performance. Essential operating conditions that may be </w:t>
            </w:r>
            <w:r w:rsidRPr="00BA4C5A">
              <w:t>present (depending on the work situation, needs of the candidate, accessibility of the item, and local industry and regional contexts) are included. Range is restricted to essential operating conditions and any other variables essential to the work environ</w:t>
            </w:r>
            <w:r w:rsidRPr="00BA4C5A">
              <w:t>ment.</w:t>
            </w:r>
          </w:p>
        </w:tc>
      </w:tr>
      <w:tr w:rsidTr="00BA4C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rPr>
                <w:rStyle w:val="SpecialBold"/>
              </w:rPr>
              <w:t>Thick glass includes:</w:t>
            </w:r>
          </w:p>
        </w:tc>
        <w:tc>
          <w:tcPr>
            <w:tcW w:w="6312" w:type="dxa"/>
            <w:tcBorders>
              <w:top w:val="nil"/>
              <w:left w:val="nil"/>
              <w:bottom w:val="nil"/>
              <w:right w:val="nil"/>
            </w:tcBorders>
            <w:tcMar>
              <w:top w:w="0" w:type="dxa"/>
              <w:left w:w="62" w:type="dxa"/>
              <w:bottom w:w="0" w:type="dxa"/>
              <w:right w:w="62" w:type="dxa"/>
            </w:tcMar>
          </w:tcPr>
          <w:p w:rsidR="00000000" w:rsidRPr="00BA4C5A" w:rsidP="00BA4C5A">
            <w:pPr>
              <w:pStyle w:val="ListBullet"/>
            </w:pPr>
            <w:r w:rsidRPr="00BA4C5A">
              <w:t>annealed sheet and laminated glass for residential and commercial windows and doors greater than 12 mm thick</w:t>
            </w:r>
          </w:p>
          <w:p w:rsidR="00000000" w:rsidP="00BA4C5A">
            <w:pPr>
              <w:pStyle w:val="ListBullet"/>
              <w:rPr>
                <w:lang w:val="en-NZ"/>
              </w:rPr>
            </w:pPr>
            <w:r w:rsidRPr="00BA4C5A">
              <w:t>structural glass</w:t>
            </w:r>
          </w:p>
        </w:tc>
      </w:tr>
      <w:tr w:rsidTr="00BA4C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BA4C5A" w:rsidP="00BA4C5A">
            <w:pPr>
              <w:pStyle w:val="ListBullet"/>
            </w:pPr>
            <w:r w:rsidRPr="00BA4C5A">
              <w:t xml:space="preserve">table tops </w:t>
            </w:r>
          </w:p>
          <w:p w:rsidR="00000000" w:rsidP="00BA4C5A">
            <w:pPr>
              <w:pStyle w:val="ListBullet"/>
              <w:rPr>
                <w:lang w:val="en-NZ"/>
              </w:rPr>
            </w:pPr>
            <w:r w:rsidRPr="00BA4C5A">
              <w:t>shower screens</w:t>
            </w:r>
          </w:p>
        </w:tc>
      </w:tr>
      <w:tr w:rsidTr="00BA4C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rPr>
                <w:rStyle w:val="SpecialBold"/>
              </w:rPr>
              <w:t>Glass processing includes:</w:t>
            </w:r>
          </w:p>
        </w:tc>
        <w:tc>
          <w:tcPr>
            <w:tcW w:w="6312" w:type="dxa"/>
            <w:tcBorders>
              <w:top w:val="nil"/>
              <w:left w:val="nil"/>
              <w:bottom w:val="nil"/>
              <w:right w:val="nil"/>
            </w:tcBorders>
            <w:tcMar>
              <w:top w:w="0" w:type="dxa"/>
              <w:left w:w="62" w:type="dxa"/>
              <w:bottom w:w="0" w:type="dxa"/>
              <w:right w:w="62" w:type="dxa"/>
            </w:tcMar>
          </w:tcPr>
          <w:p w:rsidR="00000000" w:rsidRPr="00BA4C5A" w:rsidP="00BA4C5A">
            <w:pPr>
              <w:pStyle w:val="ListBullet"/>
            </w:pPr>
            <w:r w:rsidRPr="00BA4C5A">
              <w:t>cutting</w:t>
            </w:r>
          </w:p>
          <w:p w:rsidR="00000000" w:rsidRPr="00BA4C5A" w:rsidP="00BA4C5A">
            <w:pPr>
              <w:pStyle w:val="ListBullet"/>
            </w:pPr>
            <w:r w:rsidRPr="00BA4C5A">
              <w:t>use of portable diamond saws</w:t>
            </w:r>
          </w:p>
          <w:p w:rsidR="00000000" w:rsidRPr="00BA4C5A" w:rsidP="00BA4C5A">
            <w:pPr>
              <w:pStyle w:val="ListBullet"/>
            </w:pPr>
            <w:r w:rsidRPr="00BA4C5A">
              <w:t>shaping</w:t>
            </w:r>
          </w:p>
          <w:p w:rsidR="00000000" w:rsidP="00BA4C5A">
            <w:pPr>
              <w:pStyle w:val="ListBullet"/>
              <w:rPr>
                <w:lang w:val="en-NZ"/>
              </w:rPr>
            </w:pPr>
            <w:r w:rsidRPr="00BA4C5A">
              <w:t>drilling and edging (edging may include arising)</w:t>
            </w:r>
          </w:p>
        </w:tc>
      </w:tr>
      <w:tr w:rsidTr="00BA4C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A4C5A" w:rsidP="00BA4C5A">
            <w:pPr>
              <w:pStyle w:val="ListBullet"/>
            </w:pPr>
            <w:r w:rsidRPr="00BA4C5A">
              <w:t>cutting tables</w:t>
            </w:r>
          </w:p>
          <w:p w:rsidR="00000000" w:rsidRPr="00BA4C5A" w:rsidP="00BA4C5A">
            <w:pPr>
              <w:pStyle w:val="ListBullet"/>
            </w:pPr>
            <w:r w:rsidRPr="00BA4C5A">
              <w:t>tungsten wheel glass cutters</w:t>
            </w:r>
          </w:p>
          <w:p w:rsidR="00000000" w:rsidRPr="00BA4C5A" w:rsidP="00BA4C5A">
            <w:pPr>
              <w:pStyle w:val="ListBullet"/>
            </w:pPr>
            <w:r w:rsidRPr="00BA4C5A">
              <w:t>speed cutters</w:t>
            </w:r>
          </w:p>
          <w:p w:rsidR="00000000" w:rsidRPr="00BA4C5A" w:rsidP="00BA4C5A">
            <w:pPr>
              <w:pStyle w:val="ListBullet"/>
            </w:pPr>
            <w:r w:rsidRPr="00BA4C5A">
              <w:t>circle cutters</w:t>
            </w:r>
          </w:p>
          <w:p w:rsidR="00000000" w:rsidRPr="00BA4C5A" w:rsidP="00BA4C5A">
            <w:pPr>
              <w:pStyle w:val="ListBullet"/>
            </w:pPr>
            <w:r w:rsidRPr="00BA4C5A">
              <w:t>portable diamond saws</w:t>
            </w:r>
          </w:p>
          <w:p w:rsidR="00000000" w:rsidRPr="00BA4C5A" w:rsidP="00BA4C5A">
            <w:pPr>
              <w:pStyle w:val="ListBullet"/>
            </w:pPr>
            <w:r w:rsidRPr="00BA4C5A">
              <w:t>L-squares and straight edges</w:t>
            </w:r>
          </w:p>
          <w:p w:rsidR="00000000" w:rsidRPr="00BA4C5A" w:rsidP="00BA4C5A">
            <w:pPr>
              <w:pStyle w:val="ListBullet"/>
            </w:pPr>
            <w:r w:rsidRPr="00BA4C5A">
              <w:t>tape measures</w:t>
            </w:r>
          </w:p>
          <w:p w:rsidR="00000000" w:rsidRPr="00BA4C5A" w:rsidP="00BA4C5A">
            <w:pPr>
              <w:pStyle w:val="ListBullet"/>
            </w:pPr>
            <w:r w:rsidRPr="00BA4C5A">
              <w:t>m</w:t>
            </w:r>
            <w:r w:rsidRPr="00BA4C5A">
              <w:t>arking pens</w:t>
            </w:r>
          </w:p>
          <w:p w:rsidR="00000000" w:rsidRPr="00BA4C5A" w:rsidP="00BA4C5A">
            <w:pPr>
              <w:pStyle w:val="ListBullet"/>
            </w:pPr>
            <w:r w:rsidRPr="00BA4C5A">
              <w:t>chinagraph pencils</w:t>
            </w:r>
          </w:p>
          <w:p w:rsidR="00000000" w:rsidP="00BA4C5A">
            <w:pPr>
              <w:pStyle w:val="ListBullet"/>
              <w:rPr>
                <w:lang w:val="en-NZ"/>
              </w:rPr>
            </w:pPr>
            <w:r w:rsidRPr="00BA4C5A">
              <w:t>templates and lubricants</w:t>
            </w:r>
          </w:p>
        </w:tc>
      </w:tr>
      <w:tr w:rsidTr="00BA4C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rPr>
                <w:rStyle w:val="SpecialBold"/>
              </w:rPr>
              <w:t>Drilling equipment includes:</w:t>
            </w:r>
          </w:p>
        </w:tc>
        <w:tc>
          <w:tcPr>
            <w:tcW w:w="6312" w:type="dxa"/>
            <w:tcBorders>
              <w:top w:val="nil"/>
              <w:left w:val="nil"/>
              <w:bottom w:val="nil"/>
              <w:right w:val="nil"/>
            </w:tcBorders>
            <w:tcMar>
              <w:top w:w="0" w:type="dxa"/>
              <w:left w:w="62" w:type="dxa"/>
              <w:bottom w:w="0" w:type="dxa"/>
              <w:right w:w="62" w:type="dxa"/>
            </w:tcMar>
          </w:tcPr>
          <w:p w:rsidR="00000000" w:rsidRPr="00BA4C5A" w:rsidP="00BA4C5A">
            <w:pPr>
              <w:pStyle w:val="ListBullet"/>
            </w:pPr>
            <w:r w:rsidRPr="00BA4C5A">
              <w:t>portable diamond drills</w:t>
            </w:r>
          </w:p>
          <w:p w:rsidR="00000000" w:rsidP="00BA4C5A">
            <w:pPr>
              <w:pStyle w:val="ListBullet"/>
              <w:rPr>
                <w:lang w:val="en-NZ"/>
              </w:rPr>
            </w:pPr>
            <w:r w:rsidRPr="00BA4C5A">
              <w:t xml:space="preserve">glass drilling machine </w:t>
            </w:r>
          </w:p>
        </w:tc>
      </w:tr>
      <w:tr w:rsidTr="00BA4C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rPr>
                <w:rStyle w:val="SpecialBold"/>
              </w:rPr>
              <w:t>Edging tools include:</w:t>
            </w:r>
          </w:p>
        </w:tc>
        <w:tc>
          <w:tcPr>
            <w:tcW w:w="6312" w:type="dxa"/>
            <w:tcBorders>
              <w:top w:val="nil"/>
              <w:left w:val="nil"/>
              <w:bottom w:val="nil"/>
              <w:right w:val="nil"/>
            </w:tcBorders>
            <w:tcMar>
              <w:top w:w="0" w:type="dxa"/>
              <w:left w:w="62" w:type="dxa"/>
              <w:bottom w:w="0" w:type="dxa"/>
              <w:right w:w="62" w:type="dxa"/>
            </w:tcMar>
          </w:tcPr>
          <w:p w:rsidR="00000000" w:rsidRPr="00BA4C5A" w:rsidP="00BA4C5A">
            <w:pPr>
              <w:pStyle w:val="ListBullet"/>
            </w:pPr>
            <w:r w:rsidRPr="00BA4C5A">
              <w:t>edging stones and hand arrisers</w:t>
            </w:r>
          </w:p>
          <w:p w:rsidR="00000000" w:rsidRPr="00BA4C5A" w:rsidP="00BA4C5A">
            <w:pPr>
              <w:pStyle w:val="ListBullet"/>
            </w:pPr>
            <w:r w:rsidRPr="00BA4C5A">
              <w:t>upright belt</w:t>
            </w:r>
          </w:p>
          <w:p w:rsidR="00000000" w:rsidP="00BA4C5A">
            <w:pPr>
              <w:pStyle w:val="ListBullet"/>
              <w:rPr>
                <w:lang w:val="en-NZ"/>
              </w:rPr>
            </w:pPr>
            <w:r w:rsidRPr="00BA4C5A">
              <w:t>handheld belt machines</w:t>
            </w:r>
          </w:p>
        </w:tc>
      </w:tr>
      <w:tr w:rsidTr="00BA4C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rPr>
                <w:rStyle w:val="SpecialBold"/>
              </w:rPr>
              <w:t>Glass processing tables include:</w:t>
            </w:r>
          </w:p>
        </w:tc>
        <w:tc>
          <w:tcPr>
            <w:tcW w:w="6312" w:type="dxa"/>
            <w:tcBorders>
              <w:top w:val="nil"/>
              <w:left w:val="nil"/>
              <w:bottom w:val="nil"/>
              <w:right w:val="nil"/>
            </w:tcBorders>
            <w:tcMar>
              <w:top w:w="0" w:type="dxa"/>
              <w:left w:w="62" w:type="dxa"/>
              <w:bottom w:w="0" w:type="dxa"/>
              <w:right w:w="62" w:type="dxa"/>
            </w:tcMar>
          </w:tcPr>
          <w:p w:rsidR="00000000" w:rsidRPr="00BA4C5A" w:rsidP="00BA4C5A">
            <w:pPr>
              <w:pStyle w:val="ListBullet"/>
            </w:pPr>
            <w:r w:rsidRPr="00BA4C5A">
              <w:t>air flotation tables</w:t>
            </w:r>
          </w:p>
          <w:p w:rsidR="00000000" w:rsidP="00BA4C5A">
            <w:pPr>
              <w:pStyle w:val="ListBullet"/>
              <w:rPr>
                <w:lang w:val="en-NZ"/>
              </w:rPr>
            </w:pPr>
            <w:r w:rsidRPr="00BA4C5A">
              <w:t>roller castor table or tilt table with air flotation or roller castors</w:t>
            </w:r>
          </w:p>
        </w:tc>
      </w:tr>
      <w:tr w:rsidTr="00BA4C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BA4C5A" w:rsidP="00BA4C5A">
            <w:pPr>
              <w:pStyle w:val="ListBullet"/>
            </w:pPr>
            <w:r w:rsidRPr="00BA4C5A">
              <w:t>that prescribed under legislation, regulations and enterprise practices and procedures:</w:t>
            </w:r>
          </w:p>
          <w:p w:rsidR="00000000" w:rsidRPr="00BA4C5A" w:rsidP="00BA4C5A">
            <w:pPr>
              <w:pStyle w:val="ListBullet2"/>
            </w:pPr>
            <w:r w:rsidRPr="00BA4C5A">
              <w:t>glass handling gloves</w:t>
            </w:r>
          </w:p>
          <w:p w:rsidR="00000000" w:rsidRPr="00BA4C5A" w:rsidP="00BA4C5A">
            <w:pPr>
              <w:pStyle w:val="ListBullet2"/>
            </w:pPr>
            <w:r w:rsidRPr="00BA4C5A">
              <w:t>safety glasses</w:t>
            </w:r>
          </w:p>
          <w:p w:rsidR="00000000" w:rsidRPr="00BA4C5A" w:rsidP="00BA4C5A">
            <w:pPr>
              <w:pStyle w:val="ListBullet2"/>
            </w:pPr>
            <w:r w:rsidRPr="00BA4C5A">
              <w:t>gauntlets</w:t>
            </w:r>
          </w:p>
          <w:p w:rsidR="00000000" w:rsidRPr="00BA4C5A" w:rsidP="00BA4C5A">
            <w:pPr>
              <w:pStyle w:val="ListBullet2"/>
            </w:pPr>
            <w:r w:rsidRPr="00BA4C5A">
              <w:t xml:space="preserve">aprons </w:t>
            </w:r>
          </w:p>
          <w:p w:rsidR="00000000" w:rsidP="00BA4C5A">
            <w:pPr>
              <w:pStyle w:val="ListBullet2"/>
              <w:rPr>
                <w:lang w:val="en-NZ"/>
              </w:rPr>
            </w:pPr>
            <w:r w:rsidRPr="00BA4C5A">
              <w:t>safety footwear</w:t>
            </w:r>
          </w:p>
        </w:tc>
      </w:tr>
      <w:tr w:rsidTr="00BA4C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C5A">
            <w:pPr>
              <w:pStyle w:val="BodyText"/>
              <w:rPr>
                <w:lang w:val="en-NZ"/>
              </w:rPr>
            </w:pPr>
            <w:r w:rsidRPr="00BA4C5A">
              <w:rPr>
                <w:rStyle w:val="SpecialBold"/>
              </w:rPr>
              <w:t>Workplace procedures include:</w:t>
            </w:r>
          </w:p>
        </w:tc>
        <w:tc>
          <w:tcPr>
            <w:tcW w:w="6312" w:type="dxa"/>
            <w:tcBorders>
              <w:top w:val="nil"/>
              <w:left w:val="nil"/>
              <w:bottom w:val="nil"/>
              <w:right w:val="nil"/>
            </w:tcBorders>
            <w:tcMar>
              <w:top w:w="0" w:type="dxa"/>
              <w:left w:w="62" w:type="dxa"/>
              <w:bottom w:w="0" w:type="dxa"/>
              <w:right w:w="62" w:type="dxa"/>
            </w:tcMar>
          </w:tcPr>
          <w:p w:rsidR="00000000" w:rsidRPr="00BA4C5A" w:rsidP="00BA4C5A">
            <w:pPr>
              <w:pStyle w:val="ListBullet"/>
            </w:pPr>
            <w:r w:rsidRPr="00BA4C5A">
              <w:t xml:space="preserve">workplace procedures relating to the use of tools and equipment and personal protective equipment required for the handling and processing of glass </w:t>
            </w:r>
          </w:p>
          <w:p w:rsidR="00000000" w:rsidRPr="00BA4C5A" w:rsidP="00BA4C5A">
            <w:pPr>
              <w:pStyle w:val="ListBullet"/>
            </w:pPr>
            <w:r w:rsidRPr="00BA4C5A">
              <w:t xml:space="preserve">workplace instructions, including job sheets, cutting lists, plans, drawings and designs </w:t>
            </w:r>
          </w:p>
          <w:p w:rsidR="00000000" w:rsidRPr="00BA4C5A" w:rsidP="00BA4C5A">
            <w:pPr>
              <w:pStyle w:val="ListBullet"/>
            </w:pPr>
            <w:r w:rsidRPr="00BA4C5A">
              <w:t xml:space="preserve">workplace procedures relating to reporting and communications </w:t>
            </w:r>
          </w:p>
          <w:p w:rsidR="00000000" w:rsidRPr="00BA4C5A" w:rsidP="00BA4C5A">
            <w:pPr>
              <w:pStyle w:val="ListBullet"/>
            </w:pPr>
            <w:r w:rsidRPr="00BA4C5A">
              <w:t xml:space="preserve">manufacturer instructions for the use of equipment and materials </w:t>
            </w:r>
          </w:p>
          <w:p w:rsidR="00000000" w:rsidRPr="00BA4C5A" w:rsidP="00BA4C5A">
            <w:pPr>
              <w:pStyle w:val="ListBullet"/>
            </w:pPr>
            <w:r w:rsidRPr="00BA4C5A">
              <w:t xml:space="preserve">quality standards and procedures </w:t>
            </w:r>
          </w:p>
        </w:tc>
      </w:tr>
    </w:tbl>
    <w:p w:rsidR="00000000" w:rsidRPr="00BA4C5A" w:rsidP="00BA4C5A">
      <w:pPr>
        <w:pStyle w:val="BodyText"/>
      </w:pPr>
    </w:p>
    <w:p w:rsidR="00000000" w:rsidRPr="00BA4C5A" w:rsidP="00BA4C5A">
      <w:pPr>
        <w:pStyle w:val="AllowPageBreak"/>
      </w:pPr>
    </w:p>
    <w:p w:rsidR="00000000" w:rsidRPr="00BA4C5A" w:rsidP="00BA4C5A">
      <w:pPr>
        <w:pStyle w:val="Heading1"/>
      </w:pPr>
      <w:bookmarkStart w:id="9" w:name="O_632247"/>
      <w:bookmarkEnd w:id="9"/>
      <w:r w:rsidRPr="00BA4C5A">
        <w:t>Unit Mapping Information</w:t>
      </w:r>
    </w:p>
    <w:p w:rsidR="00000000" w:rsidRPr="00BA4C5A" w:rsidP="00BA4C5A">
      <w:pPr>
        <w:pStyle w:val="BodyText"/>
      </w:pPr>
      <w:r w:rsidRPr="00BA4C5A">
        <w:t>Supersedes and is not equivalent to LMFGG3004C Process thick glass.</w:t>
      </w:r>
    </w:p>
    <w:p w:rsidR="00000000" w:rsidRPr="00BA4C5A" w:rsidP="00BA4C5A">
      <w:pPr>
        <w:pStyle w:val="AllowPageBreak"/>
      </w:pPr>
    </w:p>
    <w:p w:rsidR="00000000" w:rsidRPr="00BA4C5A" w:rsidP="00BA4C5A">
      <w:pPr>
        <w:pStyle w:val="Heading1"/>
      </w:pPr>
      <w:bookmarkStart w:id="10" w:name="O_632240"/>
      <w:bookmarkEnd w:id="10"/>
      <w:r w:rsidRPr="00BA4C5A">
        <w:t>Links</w:t>
      </w:r>
    </w:p>
    <w:p w:rsidR="00000000" w:rsidRPr="00BA4C5A" w:rsidP="00BA4C5A">
      <w:pPr>
        <w:pStyle w:val="BodyText"/>
      </w:pPr>
      <w:r w:rsidRPr="00BA4C5A">
        <w:t>Companion Volume implementation guides are found in VETNet - https://vetnet.education.gov.au/Pages/TrainingDocs.aspx?q=0601a</w:t>
      </w:r>
      <w:r w:rsidRPr="00BA4C5A">
        <w:t>b95-583a-4e93-b2d4-cfb27b03ed73</w:t>
      </w:r>
    </w:p>
    <w:p w:rsidR="00000000" w:rsidRPr="00BA4C5A" w:rsidP="00BA4C5A"/>
    <w:sectPr w:rsidSect="00BA4C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5A" w:rsidRPr="00B15D26" w:rsidP="00B15D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D26" w:rsidP="00BA4C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15D26" w:rsidP="00BA4C5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15D26" w:rsidP="00BA4C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D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C5A" w:rsidRPr="00B15D26" w:rsidP="00B15D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D26" w:rsidRPr="002D2AF8" w:rsidP="00BA4C5A">
    <w:pPr>
      <w:pStyle w:val="Header"/>
      <w:framePr w:wrap="around"/>
    </w:pPr>
    <w:r>
      <w:fldChar w:fldCharType="begin"/>
    </w:r>
    <w:r>
      <w:instrText xml:space="preserve"> TITLE   \* MERGEFORMAT </w:instrText>
    </w:r>
    <w:r>
      <w:fldChar w:fldCharType="separate"/>
    </w:r>
    <w:r>
      <w:t>MSFGG3004 Process thick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15D26" w:rsidP="00BA4C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BC78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A69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666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C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C5A"/>
    <w:pPr>
      <w:spacing w:before="360" w:after="60"/>
      <w:outlineLvl w:val="0"/>
    </w:pPr>
    <w:rPr>
      <w:sz w:val="32"/>
    </w:rPr>
  </w:style>
  <w:style w:type="paragraph" w:styleId="Heading2">
    <w:name w:val="heading 2"/>
    <w:basedOn w:val="HeadingBase"/>
    <w:next w:val="BodyText"/>
    <w:link w:val="Heading2Char"/>
    <w:qFormat/>
    <w:rsid w:val="00BA4C5A"/>
    <w:pPr>
      <w:keepLines/>
      <w:spacing w:before="240" w:after="120"/>
      <w:outlineLvl w:val="1"/>
    </w:pPr>
    <w:rPr>
      <w:sz w:val="28"/>
      <w:szCs w:val="40"/>
    </w:rPr>
  </w:style>
  <w:style w:type="paragraph" w:styleId="Heading3">
    <w:name w:val="heading 3"/>
    <w:basedOn w:val="HeadingBase"/>
    <w:next w:val="BodyText"/>
    <w:link w:val="Heading3Char"/>
    <w:qFormat/>
    <w:rsid w:val="00BA4C5A"/>
    <w:pPr>
      <w:spacing w:before="180" w:after="120"/>
      <w:outlineLvl w:val="2"/>
    </w:pPr>
    <w:rPr>
      <w:spacing w:val="-10"/>
      <w:kern w:val="32"/>
    </w:rPr>
  </w:style>
  <w:style w:type="paragraph" w:styleId="Heading4">
    <w:name w:val="heading 4"/>
    <w:basedOn w:val="HeadingBase"/>
    <w:next w:val="BodyText"/>
    <w:link w:val="Heading4Char"/>
    <w:qFormat/>
    <w:rsid w:val="00BA4C5A"/>
    <w:pPr>
      <w:spacing w:before="160" w:after="120"/>
      <w:outlineLvl w:val="3"/>
    </w:pPr>
    <w:rPr>
      <w:sz w:val="22"/>
    </w:rPr>
  </w:style>
  <w:style w:type="paragraph" w:styleId="Heading5">
    <w:name w:val="heading 5"/>
    <w:basedOn w:val="HeadingBase"/>
    <w:next w:val="Normal"/>
    <w:link w:val="Heading5Char"/>
    <w:qFormat/>
    <w:rsid w:val="00BA4C5A"/>
    <w:pPr>
      <w:spacing w:before="80"/>
      <w:outlineLvl w:val="4"/>
    </w:pPr>
    <w:rPr>
      <w:color w:val="918585"/>
      <w:sz w:val="20"/>
    </w:rPr>
  </w:style>
  <w:style w:type="paragraph" w:styleId="Heading6">
    <w:name w:val="heading 6"/>
    <w:basedOn w:val="HeadingBase"/>
    <w:next w:val="Normal"/>
    <w:link w:val="Heading6Char"/>
    <w:qFormat/>
    <w:rsid w:val="00BA4C5A"/>
    <w:pPr>
      <w:spacing w:before="60"/>
      <w:outlineLvl w:val="5"/>
    </w:pPr>
    <w:rPr>
      <w:color w:val="918585"/>
      <w:sz w:val="20"/>
    </w:rPr>
  </w:style>
  <w:style w:type="paragraph" w:styleId="Heading7">
    <w:name w:val="heading 7"/>
    <w:basedOn w:val="Normal"/>
    <w:next w:val="Normal"/>
    <w:link w:val="Heading7Char"/>
    <w:qFormat/>
    <w:rsid w:val="00BA4C5A"/>
    <w:pPr>
      <w:ind w:left="720"/>
      <w:outlineLvl w:val="6"/>
    </w:pPr>
    <w:rPr>
      <w:i/>
    </w:rPr>
  </w:style>
  <w:style w:type="paragraph" w:styleId="Heading8">
    <w:name w:val="heading 8"/>
    <w:basedOn w:val="Normal"/>
    <w:next w:val="Normal"/>
    <w:link w:val="Heading8Char"/>
    <w:qFormat/>
    <w:rsid w:val="00BA4C5A"/>
    <w:pPr>
      <w:ind w:left="720"/>
      <w:outlineLvl w:val="7"/>
    </w:pPr>
    <w:rPr>
      <w:i/>
    </w:rPr>
  </w:style>
  <w:style w:type="paragraph" w:styleId="Heading9">
    <w:name w:val="heading 9"/>
    <w:basedOn w:val="Normal"/>
    <w:next w:val="Normal"/>
    <w:link w:val="Heading9Char"/>
    <w:qFormat/>
    <w:rsid w:val="00BA4C5A"/>
    <w:pPr>
      <w:ind w:left="720"/>
      <w:outlineLvl w:val="8"/>
    </w:pPr>
    <w:rPr>
      <w:i/>
    </w:rPr>
  </w:style>
  <w:style w:type="character" w:default="1" w:styleId="DefaultParagraphFont">
    <w:name w:val="Default Paragraph Font"/>
    <w:uiPriority w:val="1"/>
    <w:unhideWhenUsed/>
    <w:rsid w:val="00BA4C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C5A"/>
  </w:style>
  <w:style w:type="character" w:customStyle="1" w:styleId="Heading1Char">
    <w:name w:val="Heading 1 Char"/>
    <w:basedOn w:val="DefaultParagraphFont"/>
    <w:link w:val="Heading1"/>
    <w:rsid w:val="00BA4C5A"/>
    <w:rPr>
      <w:rFonts w:ascii="Times New Roman" w:eastAsia="Times New Roman" w:hAnsi="Times New Roman" w:cs="Times New Roman"/>
      <w:b/>
      <w:sz w:val="32"/>
      <w:szCs w:val="20"/>
      <w:lang w:eastAsia="en-US"/>
    </w:rPr>
  </w:style>
  <w:style w:type="paragraph" w:styleId="BodyText">
    <w:name w:val="Body Text"/>
    <w:basedOn w:val="Normal"/>
    <w:link w:val="BodyTextChar"/>
    <w:rsid w:val="00BA4C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4C5A"/>
    <w:rPr>
      <w:rFonts w:ascii="Times New Roman" w:eastAsia="Times New Roman" w:hAnsi="Times New Roman" w:cs="Times New Roman"/>
      <w:sz w:val="24"/>
      <w:lang w:eastAsia="en-US"/>
    </w:rPr>
  </w:style>
  <w:style w:type="paragraph" w:styleId="ListBullet">
    <w:name w:val="List Bullet"/>
    <w:basedOn w:val="List"/>
    <w:rsid w:val="00BA4C5A"/>
    <w:pPr>
      <w:numPr>
        <w:numId w:val="13"/>
      </w:numPr>
      <w:tabs>
        <w:tab w:val="clear" w:pos="340"/>
      </w:tabs>
      <w:spacing w:before="40" w:after="40"/>
    </w:pPr>
  </w:style>
  <w:style w:type="character" w:customStyle="1" w:styleId="SpecialBold">
    <w:name w:val="Special Bold"/>
    <w:basedOn w:val="DefaultParagraphFont"/>
    <w:rsid w:val="00BA4C5A"/>
    <w:rPr>
      <w:b/>
      <w:spacing w:val="0"/>
    </w:rPr>
  </w:style>
  <w:style w:type="paragraph" w:styleId="ListBullet2">
    <w:name w:val="List Bullet 2"/>
    <w:basedOn w:val="List2"/>
    <w:rsid w:val="00BA4C5A"/>
    <w:pPr>
      <w:numPr>
        <w:numId w:val="14"/>
      </w:numPr>
      <w:tabs>
        <w:tab w:val="clear" w:pos="680"/>
      </w:tabs>
    </w:pPr>
  </w:style>
  <w:style w:type="paragraph" w:customStyle="1" w:styleId="SuperHeading">
    <w:name w:val="SuperHeading"/>
    <w:basedOn w:val="Normal"/>
    <w:rsid w:val="00BA4C5A"/>
    <w:pPr>
      <w:spacing w:before="240" w:after="120"/>
      <w:outlineLvl w:val="0"/>
    </w:pPr>
    <w:rPr>
      <w:rFonts w:ascii="Times New Roman" w:hAnsi="Times New Roman"/>
      <w:b/>
      <w:sz w:val="32"/>
    </w:rPr>
  </w:style>
  <w:style w:type="paragraph" w:customStyle="1" w:styleId="AllowPageBreak">
    <w:name w:val="AllowPageBreak"/>
    <w:rsid w:val="00BA4C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C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C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C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C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C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C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C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C5A"/>
    <w:rPr>
      <w:rFonts w:ascii="Courier New" w:eastAsia="Times New Roman" w:hAnsi="Courier New" w:cs="Times New Roman"/>
      <w:i/>
      <w:szCs w:val="20"/>
      <w:lang w:eastAsia="en-US"/>
    </w:rPr>
  </w:style>
  <w:style w:type="paragraph" w:customStyle="1" w:styleId="HeadingBase">
    <w:name w:val="Heading Base"/>
    <w:rsid w:val="00BA4C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C5A"/>
    <w:pPr>
      <w:tabs>
        <w:tab w:val="right" w:leader="dot" w:pos="9072"/>
      </w:tabs>
      <w:ind w:left="567"/>
    </w:pPr>
    <w:rPr>
      <w:szCs w:val="22"/>
    </w:rPr>
  </w:style>
  <w:style w:type="paragraph" w:customStyle="1" w:styleId="TOCBase">
    <w:name w:val="TOC Base"/>
    <w:rsid w:val="00BA4C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C5A"/>
    <w:pPr>
      <w:tabs>
        <w:tab w:val="right" w:leader="dot" w:pos="9072"/>
      </w:tabs>
      <w:spacing w:before="40" w:after="40"/>
      <w:ind w:left="284"/>
    </w:pPr>
    <w:rPr>
      <w:rFonts w:ascii="Times New Roman" w:hAnsi="Times New Roman"/>
    </w:rPr>
  </w:style>
  <w:style w:type="paragraph" w:styleId="TOC1">
    <w:name w:val="toc 1"/>
    <w:basedOn w:val="TOCBase"/>
    <w:next w:val="Normal"/>
    <w:rsid w:val="00BA4C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C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C5A"/>
    <w:rPr>
      <w:rFonts w:ascii="Times New Roman" w:eastAsia="Times New Roman" w:hAnsi="Times New Roman" w:cs="Times New Roman"/>
      <w:sz w:val="16"/>
      <w:lang w:eastAsia="en-US"/>
    </w:rPr>
  </w:style>
  <w:style w:type="paragraph" w:styleId="Title">
    <w:name w:val="Title"/>
    <w:basedOn w:val="HeadingBase"/>
    <w:link w:val="TitleChar"/>
    <w:qFormat/>
    <w:rsid w:val="00BA4C5A"/>
    <w:pPr>
      <w:spacing w:before="5040"/>
      <w:jc w:val="center"/>
    </w:pPr>
    <w:rPr>
      <w:sz w:val="48"/>
      <w:szCs w:val="72"/>
      <w:lang w:val="en-US"/>
    </w:rPr>
  </w:style>
  <w:style w:type="character" w:customStyle="1" w:styleId="TitleChar">
    <w:name w:val="Title Char"/>
    <w:basedOn w:val="DefaultParagraphFont"/>
    <w:link w:val="Title"/>
    <w:rsid w:val="00BA4C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C5A"/>
    <w:pPr>
      <w:tabs>
        <w:tab w:val="left" w:pos="3600"/>
        <w:tab w:val="left" w:pos="3958"/>
      </w:tabs>
    </w:pPr>
  </w:style>
  <w:style w:type="paragraph" w:styleId="List">
    <w:name w:val="List"/>
    <w:basedOn w:val="BodyText"/>
    <w:next w:val="BodyText"/>
    <w:rsid w:val="00BA4C5A"/>
    <w:pPr>
      <w:tabs>
        <w:tab w:val="left" w:pos="340"/>
      </w:tabs>
      <w:spacing w:before="60" w:after="60"/>
      <w:ind w:left="340" w:hanging="340"/>
    </w:pPr>
  </w:style>
  <w:style w:type="paragraph" w:customStyle="1" w:styleId="Note">
    <w:name w:val="Note"/>
    <w:basedOn w:val="BodyText"/>
    <w:rsid w:val="00BA4C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C5A"/>
    <w:pPr>
      <w:framePr w:wrap="auto" w:hAnchor="text" w:y="6049"/>
    </w:pPr>
    <w:rPr>
      <w:color w:val="000000"/>
      <w:sz w:val="40"/>
    </w:rPr>
  </w:style>
  <w:style w:type="paragraph" w:customStyle="1" w:styleId="TOCTitle">
    <w:name w:val="TOCTitle"/>
    <w:basedOn w:val="Heading1"/>
    <w:rsid w:val="00BA4C5A"/>
    <w:pPr>
      <w:spacing w:after="240"/>
      <w:jc w:val="center"/>
      <w:outlineLvl w:val="9"/>
    </w:pPr>
    <w:rPr>
      <w:caps/>
    </w:rPr>
  </w:style>
  <w:style w:type="paragraph" w:customStyle="1" w:styleId="Version">
    <w:name w:val="Version"/>
    <w:rsid w:val="00BA4C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C5A"/>
    <w:pPr>
      <w:keepNext w:val="0"/>
      <w:tabs>
        <w:tab w:val="right" w:pos="4176"/>
      </w:tabs>
      <w:ind w:left="198" w:hanging="198"/>
    </w:pPr>
    <w:rPr>
      <w:rFonts w:ascii="Garamond" w:hAnsi="Garamond"/>
    </w:rPr>
  </w:style>
  <w:style w:type="paragraph" w:styleId="IndexHeading">
    <w:name w:val="index heading"/>
    <w:basedOn w:val="Normal"/>
    <w:next w:val="Index1"/>
    <w:semiHidden/>
    <w:rsid w:val="00BA4C5A"/>
    <w:pPr>
      <w:spacing w:before="120" w:after="120"/>
    </w:pPr>
    <w:rPr>
      <w:rFonts w:ascii="Arial" w:hAnsi="Arial"/>
      <w:b/>
      <w:color w:val="918585"/>
      <w:sz w:val="24"/>
    </w:rPr>
  </w:style>
  <w:style w:type="paragraph" w:styleId="Header">
    <w:name w:val="header"/>
    <w:basedOn w:val="Normal"/>
    <w:link w:val="HeaderChar"/>
    <w:rsid w:val="00BA4C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C5A"/>
    <w:rPr>
      <w:rFonts w:ascii="Times New Roman" w:eastAsia="Times New Roman" w:hAnsi="Times New Roman" w:cs="Times New Roman"/>
      <w:sz w:val="16"/>
      <w:szCs w:val="20"/>
      <w:lang w:val="en-GB" w:eastAsia="en-US"/>
    </w:rPr>
  </w:style>
  <w:style w:type="paragraph" w:customStyle="1" w:styleId="Chapter">
    <w:name w:val="Chapter"/>
    <w:basedOn w:val="Normal"/>
    <w:rsid w:val="00BA4C5A"/>
    <w:pPr>
      <w:spacing w:before="240"/>
    </w:pPr>
    <w:rPr>
      <w:rFonts w:ascii="Times New Roman" w:hAnsi="Times New Roman"/>
      <w:smallCaps/>
      <w:spacing w:val="80"/>
      <w:sz w:val="28"/>
    </w:rPr>
  </w:style>
  <w:style w:type="paragraph" w:customStyle="1" w:styleId="InChapter">
    <w:name w:val="InChapter"/>
    <w:basedOn w:val="Heading3"/>
    <w:rsid w:val="00BA4C5A"/>
    <w:pPr>
      <w:spacing w:after="240"/>
      <w:outlineLvl w:val="9"/>
    </w:pPr>
    <w:rPr>
      <w:noProof/>
    </w:rPr>
  </w:style>
  <w:style w:type="paragraph" w:styleId="Index2">
    <w:name w:val="index 2"/>
    <w:basedOn w:val="Normal"/>
    <w:next w:val="Normal"/>
    <w:semiHidden/>
    <w:rsid w:val="00BA4C5A"/>
    <w:pPr>
      <w:tabs>
        <w:tab w:val="right" w:pos="4176"/>
      </w:tabs>
      <w:ind w:left="568" w:hanging="284"/>
    </w:pPr>
    <w:rPr>
      <w:rFonts w:ascii="Garamond" w:hAnsi="Garamond"/>
    </w:rPr>
  </w:style>
  <w:style w:type="paragraph" w:customStyle="1" w:styleId="Byline">
    <w:name w:val="Byline"/>
    <w:rsid w:val="00BA4C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C5A"/>
    <w:pPr>
      <w:tabs>
        <w:tab w:val="clear" w:pos="3600"/>
        <w:tab w:val="clear" w:pos="3958"/>
      </w:tabs>
      <w:jc w:val="right"/>
    </w:pPr>
  </w:style>
  <w:style w:type="character" w:styleId="Emphasis">
    <w:name w:val="Emphasis"/>
    <w:basedOn w:val="DefaultParagraphFont"/>
    <w:qFormat/>
    <w:rsid w:val="00BA4C5A"/>
    <w:rPr>
      <w:i/>
    </w:rPr>
  </w:style>
  <w:style w:type="paragraph" w:styleId="Caption">
    <w:name w:val="caption"/>
    <w:basedOn w:val="BodyText"/>
    <w:next w:val="Normal"/>
    <w:qFormat/>
    <w:rsid w:val="00BA4C5A"/>
    <w:pPr>
      <w:framePr w:w="2268" w:hSpace="181" w:vSpace="181" w:wrap="around" w:vAnchor="text" w:hAnchor="page" w:x="1135" w:y="285" w:anchorLock="1"/>
    </w:pPr>
    <w:rPr>
      <w:i/>
    </w:rPr>
  </w:style>
  <w:style w:type="paragraph" w:customStyle="1" w:styleId="MiniTOCTitle">
    <w:name w:val="MiniTOCTitle"/>
    <w:basedOn w:val="Heading4"/>
    <w:rsid w:val="00BA4C5A"/>
    <w:pPr>
      <w:spacing w:before="240"/>
      <w:outlineLvl w:val="9"/>
    </w:pPr>
    <w:rPr>
      <w:noProof/>
      <w:sz w:val="24"/>
    </w:rPr>
  </w:style>
  <w:style w:type="paragraph" w:customStyle="1" w:styleId="MiniTOCItem">
    <w:name w:val="MiniTOCItem"/>
    <w:basedOn w:val="ListBullet"/>
    <w:rsid w:val="00BA4C5A"/>
    <w:pPr>
      <w:numPr>
        <w:numId w:val="0"/>
      </w:numPr>
      <w:tabs>
        <w:tab w:val="right" w:leader="dot" w:pos="6521"/>
      </w:tabs>
      <w:spacing w:before="0" w:after="0"/>
    </w:pPr>
  </w:style>
  <w:style w:type="paragraph" w:customStyle="1" w:styleId="TOFTitle">
    <w:name w:val="TOFTitle"/>
    <w:basedOn w:val="TOCTitle"/>
    <w:rsid w:val="00BA4C5A"/>
  </w:style>
  <w:style w:type="paragraph" w:styleId="TableofFigures">
    <w:name w:val="table of figures"/>
    <w:basedOn w:val="Normal"/>
    <w:next w:val="Normal"/>
    <w:semiHidden/>
    <w:rsid w:val="00BA4C5A"/>
    <w:pPr>
      <w:tabs>
        <w:tab w:val="right" w:leader="dot" w:pos="9072"/>
      </w:tabs>
      <w:ind w:left="970" w:hanging="403"/>
    </w:pPr>
    <w:rPr>
      <w:rFonts w:ascii="Times New Roman" w:hAnsi="Times New Roman"/>
      <w:b/>
    </w:rPr>
  </w:style>
  <w:style w:type="paragraph" w:styleId="ListNumber">
    <w:name w:val="List Number"/>
    <w:basedOn w:val="List"/>
    <w:rsid w:val="00BA4C5A"/>
    <w:pPr>
      <w:numPr>
        <w:numId w:val="11"/>
      </w:numPr>
    </w:pPr>
  </w:style>
  <w:style w:type="character" w:customStyle="1" w:styleId="WingdingSymbols">
    <w:name w:val="Wingding Symbols"/>
    <w:rsid w:val="00BA4C5A"/>
    <w:rPr>
      <w:rFonts w:ascii="Wingdings" w:hAnsi="Wingdings"/>
    </w:rPr>
  </w:style>
  <w:style w:type="paragraph" w:customStyle="1" w:styleId="TableHeading">
    <w:name w:val="Table Heading"/>
    <w:basedOn w:val="HeadingBase"/>
    <w:rsid w:val="00BA4C5A"/>
    <w:pPr>
      <w:keepLines/>
      <w:pBdr>
        <w:bottom w:val="single" w:sz="6" w:space="1" w:color="918585"/>
      </w:pBdr>
      <w:spacing w:before="240"/>
    </w:pPr>
  </w:style>
  <w:style w:type="character" w:customStyle="1" w:styleId="HotSpot">
    <w:name w:val="HotSpot"/>
    <w:rsid w:val="00BA4C5A"/>
    <w:rPr>
      <w:color w:val="0033CC"/>
      <w:u w:val="none"/>
    </w:rPr>
  </w:style>
  <w:style w:type="paragraph" w:customStyle="1" w:styleId="BodyTextRight">
    <w:name w:val="Body Text Right"/>
    <w:basedOn w:val="BodyText"/>
    <w:rsid w:val="00BA4C5A"/>
    <w:pPr>
      <w:spacing w:before="0" w:after="0"/>
      <w:jc w:val="right"/>
    </w:pPr>
  </w:style>
  <w:style w:type="paragraph" w:styleId="Index3">
    <w:name w:val="index 3"/>
    <w:basedOn w:val="ListNumber2"/>
    <w:next w:val="Normal"/>
    <w:semiHidden/>
    <w:rsid w:val="00BA4C5A"/>
    <w:pPr>
      <w:numPr>
        <w:numId w:val="0"/>
      </w:numPr>
      <w:tabs>
        <w:tab w:val="right" w:leader="dot" w:pos="4176"/>
      </w:tabs>
    </w:pPr>
  </w:style>
  <w:style w:type="paragraph" w:styleId="ListNumber2">
    <w:name w:val="List Number 2"/>
    <w:basedOn w:val="List2"/>
    <w:rsid w:val="00BA4C5A"/>
    <w:pPr>
      <w:numPr>
        <w:numId w:val="10"/>
      </w:numPr>
      <w:tabs>
        <w:tab w:val="clear" w:pos="1060"/>
      </w:tabs>
    </w:pPr>
  </w:style>
  <w:style w:type="paragraph" w:customStyle="1" w:styleId="MarginNote">
    <w:name w:val="Margin Note"/>
    <w:basedOn w:val="BodyText"/>
    <w:rsid w:val="00BA4C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C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C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C5A"/>
    <w:rPr>
      <w:sz w:val="32"/>
    </w:rPr>
  </w:style>
  <w:style w:type="paragraph" w:customStyle="1" w:styleId="HeadingProcedure">
    <w:name w:val="Heading Procedure"/>
    <w:basedOn w:val="HeadingBase"/>
    <w:next w:val="Normal"/>
    <w:rsid w:val="00BA4C5A"/>
    <w:pPr>
      <w:tabs>
        <w:tab w:val="left" w:pos="0"/>
      </w:tabs>
      <w:spacing w:before="120" w:after="60"/>
    </w:pPr>
    <w:rPr>
      <w:i/>
      <w:color w:val="918585"/>
      <w:sz w:val="22"/>
    </w:rPr>
  </w:style>
  <w:style w:type="paragraph" w:customStyle="1" w:styleId="TableBodyText">
    <w:name w:val="Table Body Text"/>
    <w:basedOn w:val="BodyText"/>
    <w:rsid w:val="00BA4C5A"/>
    <w:pPr>
      <w:spacing w:before="60" w:after="60"/>
    </w:pPr>
  </w:style>
  <w:style w:type="paragraph" w:styleId="ListContinue">
    <w:name w:val="List Continue"/>
    <w:basedOn w:val="List"/>
    <w:rsid w:val="00BA4C5A"/>
    <w:pPr>
      <w:ind w:firstLine="0"/>
    </w:pPr>
  </w:style>
  <w:style w:type="paragraph" w:customStyle="1" w:styleId="ListNote">
    <w:name w:val="List Note"/>
    <w:basedOn w:val="List"/>
    <w:rsid w:val="00BA4C5A"/>
    <w:pPr>
      <w:pBdr>
        <w:top w:val="single" w:sz="6" w:space="2" w:color="918585"/>
        <w:bottom w:val="single" w:sz="6" w:space="2" w:color="918585"/>
      </w:pBdr>
      <w:tabs>
        <w:tab w:val="left" w:pos="1021"/>
      </w:tabs>
      <w:ind w:firstLine="0"/>
    </w:pPr>
  </w:style>
  <w:style w:type="paragraph" w:customStyle="1" w:styleId="Warning">
    <w:name w:val="Warning"/>
    <w:basedOn w:val="BodyText"/>
    <w:rsid w:val="00BA4C5A"/>
    <w:pPr>
      <w:shd w:val="clear" w:color="auto" w:fill="D9D9D9"/>
      <w:tabs>
        <w:tab w:val="left" w:pos="992"/>
      </w:tabs>
      <w:ind w:left="119" w:right="119"/>
    </w:pPr>
    <w:rPr>
      <w:sz w:val="20"/>
    </w:rPr>
  </w:style>
  <w:style w:type="paragraph" w:customStyle="1" w:styleId="MarginIcons">
    <w:name w:val="Margin Icons"/>
    <w:basedOn w:val="BodyText"/>
    <w:rsid w:val="00BA4C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C5A"/>
    <w:rPr>
      <w:rFonts w:ascii="Courier New" w:hAnsi="Courier New"/>
    </w:rPr>
  </w:style>
  <w:style w:type="paragraph" w:customStyle="1" w:styleId="NoteBullet">
    <w:name w:val="Note Bullet"/>
    <w:basedOn w:val="Note"/>
    <w:rsid w:val="00BA4C5A"/>
    <w:pPr>
      <w:tabs>
        <w:tab w:val="clear" w:pos="680"/>
      </w:tabs>
      <w:spacing w:before="60" w:after="60"/>
    </w:pPr>
  </w:style>
  <w:style w:type="paragraph" w:customStyle="1" w:styleId="SubHeading2">
    <w:name w:val="SubHeading2"/>
    <w:basedOn w:val="HeadingBase"/>
    <w:rsid w:val="00BA4C5A"/>
    <w:pPr>
      <w:spacing w:before="240" w:after="60"/>
    </w:pPr>
    <w:rPr>
      <w:sz w:val="20"/>
    </w:rPr>
  </w:style>
  <w:style w:type="paragraph" w:customStyle="1" w:styleId="SubHeading1">
    <w:name w:val="SubHeading1"/>
    <w:basedOn w:val="HeadingBase"/>
    <w:rsid w:val="00BA4C5A"/>
    <w:pPr>
      <w:spacing w:before="240" w:after="60"/>
    </w:pPr>
    <w:rPr>
      <w:color w:val="918585"/>
      <w:sz w:val="22"/>
    </w:rPr>
  </w:style>
  <w:style w:type="paragraph" w:customStyle="1" w:styleId="SideHeading">
    <w:name w:val="Side Heading"/>
    <w:basedOn w:val="HeadingBase"/>
    <w:rsid w:val="00BA4C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C5A"/>
    <w:pPr>
      <w:numPr>
        <w:numId w:val="12"/>
      </w:numPr>
    </w:pPr>
  </w:style>
  <w:style w:type="paragraph" w:styleId="PlainText">
    <w:name w:val="Plain Text"/>
    <w:basedOn w:val="Normal"/>
    <w:link w:val="PlainTextChar"/>
    <w:rsid w:val="00BA4C5A"/>
    <w:rPr>
      <w:sz w:val="20"/>
    </w:rPr>
  </w:style>
  <w:style w:type="character" w:customStyle="1" w:styleId="PlainTextChar">
    <w:name w:val="Plain Text Char"/>
    <w:basedOn w:val="DefaultParagraphFont"/>
    <w:link w:val="PlainText"/>
    <w:rsid w:val="00BA4C5A"/>
    <w:rPr>
      <w:rFonts w:ascii="Courier New" w:eastAsia="Times New Roman" w:hAnsi="Courier New" w:cs="Times New Roman"/>
      <w:sz w:val="20"/>
      <w:szCs w:val="20"/>
      <w:lang w:eastAsia="en-US"/>
    </w:rPr>
  </w:style>
  <w:style w:type="character" w:customStyle="1" w:styleId="MenuOption">
    <w:name w:val="Menu Option"/>
    <w:basedOn w:val="DefaultParagraphFont"/>
    <w:rsid w:val="00BA4C5A"/>
    <w:rPr>
      <w:b/>
      <w:smallCaps/>
    </w:rPr>
  </w:style>
  <w:style w:type="paragraph" w:customStyle="1" w:styleId="TableListNumber">
    <w:name w:val="Table List Number"/>
    <w:basedOn w:val="ListNumber"/>
    <w:rsid w:val="00BA4C5A"/>
    <w:pPr>
      <w:numPr>
        <w:numId w:val="0"/>
      </w:numPr>
    </w:pPr>
  </w:style>
  <w:style w:type="paragraph" w:styleId="TOC4">
    <w:name w:val="toc 4"/>
    <w:basedOn w:val="TOCBase"/>
    <w:next w:val="Normal"/>
    <w:semiHidden/>
    <w:rsid w:val="00BA4C5A"/>
    <w:pPr>
      <w:tabs>
        <w:tab w:val="right" w:leader="dot" w:pos="9071"/>
      </w:tabs>
      <w:ind w:left="1701"/>
    </w:pPr>
  </w:style>
  <w:style w:type="paragraph" w:customStyle="1" w:styleId="ListAlpha">
    <w:name w:val="List Alpha"/>
    <w:basedOn w:val="List"/>
    <w:rsid w:val="00BA4C5A"/>
    <w:pPr>
      <w:numPr>
        <w:numId w:val="9"/>
      </w:numPr>
    </w:pPr>
  </w:style>
  <w:style w:type="paragraph" w:customStyle="1" w:styleId="ListAlpha2">
    <w:name w:val="List Alpha 2"/>
    <w:basedOn w:val="List2"/>
    <w:rsid w:val="00BA4C5A"/>
    <w:pPr>
      <w:numPr>
        <w:numId w:val="8"/>
      </w:numPr>
    </w:pPr>
  </w:style>
  <w:style w:type="paragraph" w:styleId="List2">
    <w:name w:val="List 2"/>
    <w:basedOn w:val="BodyText"/>
    <w:rsid w:val="00BA4C5A"/>
    <w:pPr>
      <w:tabs>
        <w:tab w:val="left" w:pos="680"/>
      </w:tabs>
      <w:spacing w:before="60" w:after="60"/>
      <w:ind w:left="680" w:hanging="340"/>
    </w:pPr>
  </w:style>
  <w:style w:type="paragraph" w:styleId="List3">
    <w:name w:val="List 3"/>
    <w:basedOn w:val="BodyText"/>
    <w:rsid w:val="00BA4C5A"/>
    <w:pPr>
      <w:tabs>
        <w:tab w:val="left" w:pos="1021"/>
      </w:tabs>
      <w:spacing w:before="60" w:after="60"/>
      <w:ind w:left="1020" w:hanging="340"/>
    </w:pPr>
  </w:style>
  <w:style w:type="paragraph" w:styleId="List4">
    <w:name w:val="List 4"/>
    <w:basedOn w:val="BodyText"/>
    <w:rsid w:val="00BA4C5A"/>
    <w:pPr>
      <w:tabs>
        <w:tab w:val="left" w:pos="1361"/>
      </w:tabs>
      <w:spacing w:before="60" w:after="60"/>
      <w:ind w:left="1361" w:hanging="340"/>
    </w:pPr>
  </w:style>
  <w:style w:type="paragraph" w:styleId="List5">
    <w:name w:val="List 5"/>
    <w:basedOn w:val="BodyText"/>
    <w:rsid w:val="00BA4C5A"/>
    <w:pPr>
      <w:tabs>
        <w:tab w:val="left" w:pos="1701"/>
      </w:tabs>
      <w:spacing w:before="60" w:after="60"/>
      <w:ind w:left="1701" w:hanging="340"/>
    </w:pPr>
  </w:style>
  <w:style w:type="paragraph" w:styleId="ListBullet3">
    <w:name w:val="List Bullet 3"/>
    <w:basedOn w:val="List3"/>
    <w:rsid w:val="00BA4C5A"/>
    <w:pPr>
      <w:numPr>
        <w:numId w:val="15"/>
      </w:numPr>
      <w:tabs>
        <w:tab w:val="clear" w:pos="1021"/>
      </w:tabs>
      <w:ind w:left="1037" w:hanging="357"/>
    </w:pPr>
  </w:style>
  <w:style w:type="paragraph" w:styleId="ListBullet4">
    <w:name w:val="List Bullet 4"/>
    <w:basedOn w:val="List4"/>
    <w:rsid w:val="00BA4C5A"/>
    <w:pPr>
      <w:numPr>
        <w:numId w:val="3"/>
      </w:numPr>
      <w:tabs>
        <w:tab w:val="clear" w:pos="1361"/>
      </w:tabs>
    </w:pPr>
  </w:style>
  <w:style w:type="paragraph" w:styleId="ListBullet5">
    <w:name w:val="List Bullet 5"/>
    <w:basedOn w:val="List5"/>
    <w:rsid w:val="00BA4C5A"/>
    <w:pPr>
      <w:numPr>
        <w:numId w:val="4"/>
      </w:numPr>
    </w:pPr>
  </w:style>
  <w:style w:type="paragraph" w:styleId="ListContinue2">
    <w:name w:val="List Continue 2"/>
    <w:basedOn w:val="List2"/>
    <w:rsid w:val="00BA4C5A"/>
    <w:pPr>
      <w:ind w:firstLine="0"/>
    </w:pPr>
  </w:style>
  <w:style w:type="paragraph" w:styleId="ListContinue3">
    <w:name w:val="List Continue 3"/>
    <w:basedOn w:val="List3"/>
    <w:rsid w:val="00BA4C5A"/>
    <w:pPr>
      <w:ind w:left="1021" w:firstLine="0"/>
    </w:pPr>
  </w:style>
  <w:style w:type="paragraph" w:styleId="ListContinue4">
    <w:name w:val="List Continue 4"/>
    <w:basedOn w:val="List4"/>
    <w:rsid w:val="00BA4C5A"/>
    <w:pPr>
      <w:ind w:firstLine="0"/>
    </w:pPr>
  </w:style>
  <w:style w:type="paragraph" w:styleId="ListContinue5">
    <w:name w:val="List Continue 5"/>
    <w:basedOn w:val="List5"/>
    <w:rsid w:val="00BA4C5A"/>
    <w:pPr>
      <w:ind w:firstLine="0"/>
    </w:pPr>
  </w:style>
  <w:style w:type="paragraph" w:styleId="ListNumber3">
    <w:name w:val="List Number 3"/>
    <w:basedOn w:val="List3"/>
    <w:rsid w:val="00BA4C5A"/>
    <w:pPr>
      <w:numPr>
        <w:numId w:val="5"/>
      </w:numPr>
    </w:pPr>
  </w:style>
  <w:style w:type="paragraph" w:styleId="ListNumber4">
    <w:name w:val="List Number 4"/>
    <w:basedOn w:val="List4"/>
    <w:rsid w:val="00BA4C5A"/>
    <w:pPr>
      <w:numPr>
        <w:numId w:val="6"/>
      </w:numPr>
    </w:pPr>
  </w:style>
  <w:style w:type="paragraph" w:styleId="ListNumber5">
    <w:name w:val="List Number 5"/>
    <w:basedOn w:val="List5"/>
    <w:rsid w:val="00BA4C5A"/>
    <w:pPr>
      <w:numPr>
        <w:numId w:val="7"/>
      </w:numPr>
    </w:pPr>
  </w:style>
  <w:style w:type="paragraph" w:styleId="BlockText">
    <w:name w:val="Block Text"/>
    <w:basedOn w:val="Normal"/>
    <w:rsid w:val="00BA4C5A"/>
    <w:pPr>
      <w:spacing w:after="120"/>
      <w:ind w:left="1440" w:right="1440"/>
    </w:pPr>
  </w:style>
  <w:style w:type="character" w:customStyle="1" w:styleId="Subscript">
    <w:name w:val="Subscript"/>
    <w:basedOn w:val="DefaultParagraphFont"/>
    <w:rsid w:val="00BA4C5A"/>
    <w:rPr>
      <w:sz w:val="16"/>
      <w:vertAlign w:val="subscript"/>
    </w:rPr>
  </w:style>
  <w:style w:type="character" w:customStyle="1" w:styleId="Superscript">
    <w:name w:val="Superscript"/>
    <w:basedOn w:val="DefaultParagraphFont"/>
    <w:rsid w:val="00BA4C5A"/>
    <w:rPr>
      <w:sz w:val="16"/>
      <w:vertAlign w:val="superscript"/>
    </w:rPr>
  </w:style>
  <w:style w:type="character" w:customStyle="1" w:styleId="Symbols">
    <w:name w:val="Symbols"/>
    <w:basedOn w:val="DefaultParagraphFont"/>
    <w:rsid w:val="00BA4C5A"/>
    <w:rPr>
      <w:rFonts w:ascii="Symbol" w:hAnsi="Symbol"/>
    </w:rPr>
  </w:style>
  <w:style w:type="character" w:customStyle="1" w:styleId="MenuOptions">
    <w:name w:val="Menu Options"/>
    <w:basedOn w:val="DefaultParagraphFont"/>
    <w:rsid w:val="00BA4C5A"/>
    <w:rPr>
      <w:rFonts w:ascii="Arial Narrow" w:hAnsi="Arial Narrow"/>
      <w:smallCaps/>
    </w:rPr>
  </w:style>
  <w:style w:type="character" w:customStyle="1" w:styleId="Buttons">
    <w:name w:val="Buttons"/>
    <w:basedOn w:val="DefaultParagraphFont"/>
    <w:rsid w:val="00BA4C5A"/>
    <w:rPr>
      <w:b/>
    </w:rPr>
  </w:style>
  <w:style w:type="character" w:customStyle="1" w:styleId="Underlined">
    <w:name w:val="Underlined"/>
    <w:basedOn w:val="DefaultParagraphFont"/>
    <w:rsid w:val="00BA4C5A"/>
    <w:rPr>
      <w:u w:val="single"/>
    </w:rPr>
  </w:style>
  <w:style w:type="paragraph" w:customStyle="1" w:styleId="TableBodyTextRight">
    <w:name w:val="Table Body Text Right"/>
    <w:basedOn w:val="TableBodyText"/>
    <w:rsid w:val="00BA4C5A"/>
    <w:pPr>
      <w:widowControl w:val="0"/>
      <w:autoSpaceDE w:val="0"/>
      <w:autoSpaceDN w:val="0"/>
      <w:adjustRightInd w:val="0"/>
      <w:jc w:val="right"/>
    </w:pPr>
    <w:rPr>
      <w:rFonts w:cs="Arial"/>
      <w:szCs w:val="18"/>
    </w:rPr>
  </w:style>
  <w:style w:type="paragraph" w:customStyle="1" w:styleId="CopyrightText">
    <w:name w:val="Copyright Text"/>
    <w:basedOn w:val="BodyText"/>
    <w:rsid w:val="00BA4C5A"/>
    <w:rPr>
      <w:sz w:val="18"/>
    </w:rPr>
  </w:style>
  <w:style w:type="paragraph" w:customStyle="1" w:styleId="BodySmallRight">
    <w:name w:val="Body Small Right"/>
    <w:basedOn w:val="BodyTextRight"/>
    <w:rsid w:val="00BA4C5A"/>
    <w:rPr>
      <w:sz w:val="18"/>
      <w:szCs w:val="18"/>
    </w:rPr>
  </w:style>
  <w:style w:type="paragraph" w:customStyle="1" w:styleId="MarginEdition">
    <w:name w:val="Margin Edition"/>
    <w:basedOn w:val="MarginNote"/>
    <w:rsid w:val="00BA4C5A"/>
    <w:pPr>
      <w:spacing w:before="0" w:after="0"/>
    </w:pPr>
    <w:rPr>
      <w:rFonts w:ascii="Times New Roman" w:hAnsi="Times New Roman"/>
      <w:color w:val="999999"/>
    </w:rPr>
  </w:style>
  <w:style w:type="paragraph" w:customStyle="1" w:styleId="Spacer">
    <w:name w:val="Spacer"/>
    <w:basedOn w:val="Normal"/>
    <w:rsid w:val="00BA4C5A"/>
    <w:rPr>
      <w:sz w:val="2"/>
      <w:szCs w:val="2"/>
    </w:rPr>
  </w:style>
  <w:style w:type="character" w:customStyle="1" w:styleId="Small">
    <w:name w:val="Small"/>
    <w:basedOn w:val="DefaultParagraphFont"/>
    <w:rsid w:val="00BA4C5A"/>
    <w:rPr>
      <w:sz w:val="16"/>
    </w:rPr>
  </w:style>
  <w:style w:type="paragraph" w:customStyle="1" w:styleId="WideTable">
    <w:name w:val="Wide Table"/>
    <w:basedOn w:val="Normal"/>
    <w:rsid w:val="00BA4C5A"/>
    <w:pPr>
      <w:ind w:left="-1418"/>
    </w:pPr>
    <w:rPr>
      <w:sz w:val="2"/>
      <w:szCs w:val="2"/>
    </w:rPr>
  </w:style>
  <w:style w:type="character" w:styleId="PageNumber">
    <w:name w:val="page number"/>
    <w:basedOn w:val="DefaultParagraphFont"/>
    <w:rsid w:val="00BA4C5A"/>
  </w:style>
  <w:style w:type="paragraph" w:styleId="Quote">
    <w:name w:val="Quote"/>
    <w:basedOn w:val="Heading1"/>
    <w:link w:val="QuoteChar"/>
    <w:qFormat/>
    <w:rsid w:val="00BA4C5A"/>
    <w:rPr>
      <w:b w:val="0"/>
      <w:sz w:val="72"/>
      <w:szCs w:val="72"/>
      <w:lang w:val="en-NZ"/>
    </w:rPr>
  </w:style>
  <w:style w:type="character" w:customStyle="1" w:styleId="QuoteChar">
    <w:name w:val="Quote Char"/>
    <w:basedOn w:val="DefaultParagraphFont"/>
    <w:link w:val="Quote"/>
    <w:rsid w:val="00BA4C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C5A"/>
    <w:pPr>
      <w:pageBreakBefore/>
    </w:pPr>
  </w:style>
  <w:style w:type="paragraph" w:customStyle="1" w:styleId="Border">
    <w:name w:val="Border"/>
    <w:basedOn w:val="Normal"/>
    <w:qFormat/>
    <w:rsid w:val="00BA4C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C5A"/>
    <w:rPr>
      <w:b/>
      <w:bCs/>
      <w:i/>
      <w:iCs/>
      <w:color w:val="auto"/>
    </w:rPr>
  </w:style>
  <w:style w:type="paragraph" w:styleId="IntenseQuote">
    <w:name w:val="Intense Quote"/>
    <w:basedOn w:val="Normal"/>
    <w:next w:val="Normal"/>
    <w:link w:val="IntenseQuoteChar"/>
    <w:uiPriority w:val="30"/>
    <w:qFormat/>
    <w:rsid w:val="00BA4C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C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C5A"/>
    <w:rPr>
      <w:smallCaps/>
      <w:color w:val="auto"/>
      <w:u w:val="single"/>
    </w:rPr>
  </w:style>
  <w:style w:type="character" w:styleId="IntenseReference">
    <w:name w:val="Intense Reference"/>
    <w:basedOn w:val="DefaultParagraphFont"/>
    <w:uiPriority w:val="32"/>
    <w:qFormat/>
    <w:rsid w:val="00BA4C5A"/>
    <w:rPr>
      <w:b/>
      <w:bCs/>
      <w:smallCaps/>
      <w:color w:val="auto"/>
      <w:spacing w:val="5"/>
      <w:u w:val="single"/>
    </w:rPr>
  </w:style>
  <w:style w:type="paragraph" w:customStyle="1" w:styleId="2ColumnHeading">
    <w:name w:val="2Column Heading"/>
    <w:basedOn w:val="BodyText"/>
    <w:qFormat/>
    <w:rsid w:val="00BA4C5A"/>
    <w:pPr>
      <w:spacing w:after="60"/>
      <w:ind w:left="-2268"/>
    </w:pPr>
    <w:rPr>
      <w:b/>
    </w:rPr>
  </w:style>
  <w:style w:type="paragraph" w:customStyle="1" w:styleId="Heading1TOC">
    <w:name w:val="Heading1 TOC"/>
    <w:basedOn w:val="Normal"/>
    <w:qFormat/>
    <w:rsid w:val="00BA4C5A"/>
    <w:pPr>
      <w:spacing w:before="240" w:after="120"/>
    </w:pPr>
    <w:rPr>
      <w:rFonts w:ascii="Times New Roman" w:hAnsi="Times New Roman"/>
      <w:b/>
      <w:sz w:val="32"/>
    </w:rPr>
  </w:style>
  <w:style w:type="paragraph" w:customStyle="1" w:styleId="Heading2TOC">
    <w:name w:val="Heading2 TOC"/>
    <w:basedOn w:val="Normal"/>
    <w:qFormat/>
    <w:rsid w:val="00BA4C5A"/>
    <w:pPr>
      <w:spacing w:before="240" w:after="60"/>
    </w:pPr>
    <w:rPr>
      <w:rFonts w:ascii="Times New Roman" w:hAnsi="Times New Roman"/>
      <w:b/>
      <w:sz w:val="28"/>
    </w:rPr>
  </w:style>
  <w:style w:type="character" w:customStyle="1" w:styleId="Underline">
    <w:name w:val="Underline"/>
    <w:basedOn w:val="DefaultParagraphFont"/>
    <w:qFormat/>
    <w:rsid w:val="00BA4C5A"/>
    <w:rPr>
      <w:u w:val="single"/>
    </w:rPr>
  </w:style>
  <w:style w:type="character" w:customStyle="1" w:styleId="BoldandItalics">
    <w:name w:val="Bold and Italics"/>
    <w:qFormat/>
    <w:rsid w:val="00BA4C5A"/>
    <w:rPr>
      <w:b/>
      <w:i/>
      <w:u w:val="none"/>
    </w:rPr>
  </w:style>
  <w:style w:type="paragraph" w:styleId="BalloonText">
    <w:name w:val="Balloon Text"/>
    <w:basedOn w:val="Normal"/>
    <w:link w:val="BalloonTextChar"/>
    <w:rsid w:val="00BA4C5A"/>
    <w:rPr>
      <w:rFonts w:ascii="Tahoma" w:hAnsi="Tahoma" w:cs="Tahoma"/>
      <w:sz w:val="16"/>
      <w:szCs w:val="16"/>
    </w:rPr>
  </w:style>
  <w:style w:type="character" w:customStyle="1" w:styleId="BalloonTextChar">
    <w:name w:val="Balloon Text Char"/>
    <w:basedOn w:val="DefaultParagraphFont"/>
    <w:link w:val="BalloonText"/>
    <w:rsid w:val="00BA4C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C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4C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C5A"/>
    <w:rPr>
      <w:b/>
      <w:color w:val="660033"/>
      <w:spacing w:val="0"/>
    </w:rPr>
  </w:style>
  <w:style w:type="paragraph" w:customStyle="1" w:styleId="Nameditemlist">
    <w:name w:val="Named item list"/>
    <w:basedOn w:val="BodyText"/>
    <w:qFormat/>
    <w:rsid w:val="00BA4C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5154</Characters>
  <Application>Microsoft Office Word</Application>
  <DocSecurity>0</DocSecurity>
  <Lines>235</Lines>
  <Paragraphs>122</Paragraphs>
  <ScaleCrop>false</ScaleCrop>
  <Company>Author-it Software Corporation Ltd.</Company>
  <LinksUpToDate>false</LinksUpToDate>
  <CharactersWithSpaces>5910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MSFGG3004 Process thick glass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2016-12-09T03:49:00Z</dcterms:created>
  <dcterms:modified xsi:type="dcterms:W3CDTF">2016-12-09T03:49:00Z</dcterms:modified>
</cp:coreProperties>
</file>