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4FE" w:rsidP="00CA64FE">
      <w:pPr>
        <w:pStyle w:val="Title"/>
      </w:pPr>
      <w:r>
        <w:fldChar w:fldCharType="begin"/>
      </w:r>
      <w:r>
        <w:instrText xml:space="preserve"> TITLE   \* MERGEFORMAT </w:instrText>
      </w:r>
      <w:r>
        <w:fldChar w:fldCharType="separate"/>
      </w:r>
      <w:r>
        <w:t>MSFGG3003 Move block and bulk glass sheet by mechanical means</w:t>
      </w:r>
      <w:r>
        <w:fldChar w:fldCharType="end"/>
      </w:r>
    </w:p>
    <w:p w:rsidR="00CA64FE" w:rsidP="00CA64FE">
      <w:pPr>
        <w:pStyle w:val="Version"/>
        <w:sectPr w:rsidSect="00171C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1CF2" w:rsidP="00171CF2">
      <w:pPr>
        <w:pStyle w:val="SuperHeading"/>
      </w:pPr>
      <w:r w:rsidRPr="00171CF2">
        <w:t>MSFGG3003 Move block and bulk glass sheet by mechanical means</w:t>
      </w:r>
    </w:p>
    <w:p w:rsidR="00000000" w:rsidRPr="00171CF2" w:rsidP="00171CF2">
      <w:pPr>
        <w:pStyle w:val="Heading1"/>
      </w:pPr>
      <w:bookmarkStart w:id="1" w:name="O_632227"/>
      <w:bookmarkEnd w:id="1"/>
      <w:r w:rsidRPr="00171CF2">
        <w:t>Modification History</w:t>
      </w:r>
    </w:p>
    <w:p w:rsidR="00000000" w:rsidRPr="00171CF2" w:rsidP="00171CF2">
      <w:pPr>
        <w:pStyle w:val="BodyText"/>
      </w:pPr>
      <w:r w:rsidRPr="00171CF2">
        <w:t>Release 1 - New unit of competency</w:t>
      </w:r>
    </w:p>
    <w:p w:rsidR="00000000" w:rsidRPr="00171CF2" w:rsidP="00171CF2">
      <w:pPr>
        <w:pStyle w:val="AllowPageBreak"/>
      </w:pPr>
    </w:p>
    <w:p w:rsidR="00000000" w:rsidRPr="00171CF2" w:rsidP="00171CF2">
      <w:pPr>
        <w:pStyle w:val="Heading1"/>
      </w:pPr>
      <w:bookmarkStart w:id="2" w:name="O_632235"/>
      <w:bookmarkEnd w:id="2"/>
      <w:r w:rsidRPr="00171CF2">
        <w:t>Application</w:t>
      </w:r>
    </w:p>
    <w:p w:rsidR="00000000" w:rsidRPr="00171CF2" w:rsidP="00171CF2">
      <w:pPr>
        <w:pStyle w:val="BodyText"/>
      </w:pPr>
      <w:r w:rsidRPr="00171CF2">
        <w:t>This unit of competency covers moving block/bulk flat glass by mechanical means in workplaces which are involved in the manufacture, processing and/or inst</w:t>
      </w:r>
      <w:r w:rsidRPr="00171CF2">
        <w:t xml:space="preserve">allation of sheet glass. </w:t>
      </w:r>
    </w:p>
    <w:p w:rsidR="00000000" w:rsidRPr="00171CF2" w:rsidP="00171CF2">
      <w:pPr>
        <w:pStyle w:val="BodyText"/>
      </w:pPr>
    </w:p>
    <w:p w:rsidR="00000000" w:rsidRPr="00171CF2" w:rsidP="00171CF2">
      <w:pPr>
        <w:pStyle w:val="BodyText"/>
      </w:pPr>
      <w:r w:rsidRPr="00171CF2">
        <w:t>It may include meeting local licensing requirements for use of slings and chains where these apply.</w:t>
      </w:r>
    </w:p>
    <w:p w:rsidR="00000000" w:rsidRPr="00171CF2" w:rsidP="00171CF2">
      <w:pPr>
        <w:pStyle w:val="AllowPageBreak"/>
      </w:pPr>
    </w:p>
    <w:p w:rsidR="00000000" w:rsidRPr="00171CF2" w:rsidP="00171CF2">
      <w:pPr>
        <w:pStyle w:val="Heading1"/>
      </w:pPr>
      <w:bookmarkStart w:id="3" w:name="O_632234"/>
      <w:bookmarkEnd w:id="3"/>
      <w:r w:rsidRPr="00171CF2">
        <w:t>Pre-requisite Unit</w:t>
      </w:r>
    </w:p>
    <w:p w:rsidR="00000000" w:rsidRPr="00171CF2" w:rsidP="00171CF2">
      <w:pPr>
        <w:pStyle w:val="Heading1"/>
      </w:pPr>
      <w:bookmarkStart w:id="4" w:name="O_632233"/>
      <w:bookmarkEnd w:id="4"/>
      <w:r w:rsidRPr="00171CF2">
        <w:t>Competency Field</w:t>
      </w:r>
    </w:p>
    <w:p w:rsidR="00000000" w:rsidRPr="00171CF2" w:rsidP="00171CF2">
      <w:pPr>
        <w:pStyle w:val="Heading1"/>
      </w:pPr>
      <w:bookmarkStart w:id="5" w:name="O_632232"/>
      <w:bookmarkEnd w:id="5"/>
      <w:r w:rsidRPr="00171CF2">
        <w:t>Unit Sector</w:t>
      </w:r>
    </w:p>
    <w:p w:rsidR="00000000" w:rsidRPr="00171CF2" w:rsidP="00171CF2">
      <w:pPr>
        <w:pStyle w:val="BodyText"/>
      </w:pPr>
      <w:r w:rsidRPr="00171CF2">
        <w:t>Glass and Glazing</w:t>
      </w:r>
    </w:p>
    <w:p w:rsidR="00000000" w:rsidRPr="00171CF2" w:rsidP="00171CF2">
      <w:pPr>
        <w:pStyle w:val="AllowPageBreak"/>
      </w:pPr>
    </w:p>
    <w:p w:rsidR="00000000" w:rsidRPr="00171CF2" w:rsidP="00171CF2">
      <w:pPr>
        <w:pStyle w:val="Heading1"/>
      </w:pPr>
      <w:bookmarkStart w:id="6" w:name="O_632231"/>
      <w:bookmarkEnd w:id="6"/>
      <w:r w:rsidRPr="00171CF2">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171CF2">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Performance criteria describe the performance needed to demonstrate achievement of the element.</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w:t>
            </w:r>
          </w:p>
        </w:tc>
        <w:tc>
          <w:tcPr>
            <w:tcW w:w="2219"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Prepare for the task</w:t>
            </w: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1.1</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Work requirements in the form of type and quantity of glass to be relocated are identified from work instructions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1.2</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Work health and safety(WHS) requirements for movement of bulk/block glass sheet by mechanical means, including personal protective equi</w:t>
            </w:r>
            <w:r w:rsidRPr="00171CF2">
              <w:t>pment, are observed throughout the work</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1.3</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Blocks of glass sheet to be moved are identified and weight estimated or calculated</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1.4</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Appropriate mechanical handling equipment is identified</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1.5</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 xml:space="preserve">Risks to self, others, material and equipment are identified arising from the required lifting, load carrying, set down </w:t>
            </w:r>
            <w:r w:rsidRPr="00171CF2">
              <w:t>or movement of the glass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1.6</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Equipment and controls, including emergency stops and guards, are identified and checked for safe operat</w:t>
            </w:r>
            <w:r w:rsidRPr="00171CF2">
              <w:t>ion, and any damaged or worn parts reported to appropriate personnel</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1.7</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Glass is checked for imperfections and damage prior to movement</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2</w:t>
            </w:r>
          </w:p>
        </w:tc>
        <w:tc>
          <w:tcPr>
            <w:tcW w:w="2219"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Plan glass movement</w:t>
            </w: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2.1</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Locations for glass storage are identified and routes to be followed determined</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2.2</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Required clearances are compared to available space and adjustments made</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2.3</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Process for relocating glass is planned, including predicting and planning for potential difficulties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2.4</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Proposed process is checked against advisory standards and workplac</w:t>
            </w:r>
            <w:r w:rsidRPr="00171CF2">
              <w:t>e procedures for compliance</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3</w:t>
            </w:r>
          </w:p>
        </w:tc>
        <w:tc>
          <w:tcPr>
            <w:tcW w:w="2219"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Relocate glass</w:t>
            </w: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3.1</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Equipment is operated in accordance with approved advisory standards, manufacturer instructions, workplace procedures and WHS requirements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3.2</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Planned process and route are followed and glass relocated without damage to material and equipment or injury</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3.3</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Glass is labelled and stored following workplace procedures ensuring there are no projections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3.4</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Relocation is checked to see that it m</w:t>
            </w:r>
            <w:r w:rsidRPr="00171CF2">
              <w:t>eets work requirements, and any differences are reported</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4</w:t>
            </w:r>
          </w:p>
        </w:tc>
        <w:tc>
          <w:tcPr>
            <w:tcW w:w="2219"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Complete work</w:t>
            </w: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4.1</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Waste and scrap material are removed for disposal or recycling, as required</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4.2</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Work area is cleaned and rubbish disposed of, as appropriate</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4.3</w:t>
            </w:r>
          </w:p>
        </w:tc>
        <w:tc>
          <w:tcPr>
            <w:tcW w:w="5776"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Handling equipment is cleaned, maintained and stored according to workplace procedures</w:t>
            </w:r>
          </w:p>
        </w:tc>
      </w:tr>
      <w:tr w:rsidTr="00171CF2">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4.4</w:t>
            </w:r>
          </w:p>
        </w:tc>
        <w:tc>
          <w:tcPr>
            <w:tcW w:w="5776" w:type="dxa"/>
            <w:tcBorders>
              <w:top w:val="nil"/>
              <w:left w:val="nil"/>
              <w:bottom w:val="nil"/>
              <w:right w:val="nil"/>
            </w:tcBorders>
            <w:tcMar>
              <w:top w:w="0" w:type="dxa"/>
              <w:left w:w="62" w:type="dxa"/>
              <w:bottom w:w="0" w:type="dxa"/>
              <w:right w:w="62" w:type="dxa"/>
            </w:tcMar>
          </w:tcPr>
          <w:p w:rsidR="00000000" w:rsidRPr="00171CF2" w:rsidP="00171CF2">
            <w:pPr>
              <w:pStyle w:val="BodyText"/>
            </w:pPr>
            <w:r w:rsidRPr="00171CF2">
              <w:t>Workplace documentation is completed, as required</w:t>
            </w:r>
          </w:p>
        </w:tc>
      </w:tr>
    </w:tbl>
    <w:p w:rsidR="00000000" w:rsidRPr="00171CF2" w:rsidP="00171CF2">
      <w:pPr>
        <w:pStyle w:val="BodyText"/>
      </w:pPr>
    </w:p>
    <w:p w:rsidR="00000000" w:rsidRPr="00171CF2" w:rsidP="00171CF2">
      <w:pPr>
        <w:pStyle w:val="AllowPageBreak"/>
      </w:pPr>
    </w:p>
    <w:p w:rsidR="00000000" w:rsidRPr="00171CF2" w:rsidP="00171CF2">
      <w:pPr>
        <w:pStyle w:val="Heading1"/>
      </w:pPr>
      <w:bookmarkStart w:id="7" w:name="O_632230"/>
      <w:bookmarkEnd w:id="7"/>
      <w:r w:rsidRPr="00171CF2">
        <w:t>Foundation Skills</w:t>
      </w:r>
    </w:p>
    <w:p w:rsidR="00000000" w:rsidRPr="00171CF2" w:rsidP="00171CF2">
      <w:pPr>
        <w:pStyle w:val="BodyText"/>
      </w:pPr>
      <w:r w:rsidRPr="00171CF2">
        <w:t xml:space="preserve">Foundation skills essential to performance are explicit in the performance </w:t>
      </w:r>
      <w:r w:rsidRPr="00171CF2">
        <w:t>criteria of this unit of competency. Detail on appropriate performance levels for each furnishing unit of competency in reading, writing, oral communication and numeracy utilising the Australian Core Skills Framework (ACSF) are provided in the Furnishing T</w:t>
      </w:r>
      <w:r w:rsidRPr="00171CF2">
        <w:t>raining Package Implementation Guide.</w:t>
      </w:r>
    </w:p>
    <w:p w:rsidR="00000000" w:rsidRPr="00171CF2" w:rsidP="00171CF2">
      <w:pPr>
        <w:pStyle w:val="AllowPageBreak"/>
      </w:pPr>
    </w:p>
    <w:p w:rsidR="00000000" w:rsidRPr="00171CF2" w:rsidP="00171CF2">
      <w:pPr>
        <w:pStyle w:val="Heading1"/>
      </w:pPr>
      <w:bookmarkStart w:id="8" w:name="O_632229"/>
      <w:bookmarkEnd w:id="8"/>
      <w:r w:rsidRPr="00171CF2">
        <w:t>Range of Conditions</w:t>
      </w:r>
    </w:p>
    <w:tbl>
      <w:tblPr>
        <w:tblW w:w="0" w:type="auto"/>
        <w:tblLayout w:type="fixed"/>
        <w:tblCellMar>
          <w:left w:w="62" w:type="dxa"/>
          <w:right w:w="62" w:type="dxa"/>
        </w:tblCellMar>
        <w:tblLook w:val="0000"/>
      </w:tblPr>
      <w:tblGrid>
        <w:gridCol w:w="2760"/>
        <w:gridCol w:w="6312"/>
      </w:tblGrid>
      <w:tr w:rsidTr="00171C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t>Specifies different work environments and conditions that may affect performance. Essential operating conditions that may be present (depending on the work situation, needs of the c</w:t>
            </w:r>
            <w:r w:rsidRPr="00171CF2">
              <w:t>andidate, accessibility of the item, and local industry and regional contexts) are included. Range is restricted to essential operating conditions and any other variables essential to the work environment.</w:t>
            </w:r>
          </w:p>
        </w:tc>
      </w:tr>
      <w:tr w:rsidTr="00171C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71CF2" w:rsidP="00171CF2">
            <w:pPr>
              <w:pStyle w:val="ListBullet"/>
            </w:pPr>
            <w:r w:rsidRPr="00171CF2">
              <w:t xml:space="preserve">WHS requirements, including legislation, building codes, material safety management systems, hazardous and dangerous goods codes, and local safe operating procedures or equivalent </w:t>
            </w:r>
          </w:p>
          <w:p w:rsidR="00000000" w:rsidRPr="00171CF2" w:rsidP="00171CF2">
            <w:pPr>
              <w:pStyle w:val="ListBullet"/>
            </w:pPr>
            <w:r w:rsidRPr="00171CF2">
              <w:t>work is carried out in accordance with legislative obligations, environment</w:t>
            </w:r>
            <w:r w:rsidRPr="00171CF2">
              <w:t>al legislation, relevant health regulations, manual handling procedures and organisation insurance requirements</w:t>
            </w:r>
          </w:p>
          <w:p w:rsidR="00000000" w:rsidP="00171CF2">
            <w:pPr>
              <w:pStyle w:val="ListBullet"/>
              <w:rPr>
                <w:lang w:val="en-NZ"/>
              </w:rPr>
            </w:pPr>
            <w:r w:rsidRPr="00171CF2">
              <w:t xml:space="preserve">work requires individuals to demonstrate some discretion, judgement and problem solving </w:t>
            </w:r>
          </w:p>
        </w:tc>
      </w:tr>
      <w:tr w:rsidTr="00171C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rPr>
                <w:rStyle w:val="SpecialBold"/>
              </w:rPr>
              <w:t>Block/bulk glass sheets include:</w:t>
            </w:r>
          </w:p>
        </w:tc>
        <w:tc>
          <w:tcPr>
            <w:tcW w:w="6312" w:type="dxa"/>
            <w:tcBorders>
              <w:top w:val="nil"/>
              <w:left w:val="nil"/>
              <w:bottom w:val="nil"/>
              <w:right w:val="nil"/>
            </w:tcBorders>
            <w:tcMar>
              <w:top w:w="0" w:type="dxa"/>
              <w:left w:w="62" w:type="dxa"/>
              <w:bottom w:w="0" w:type="dxa"/>
              <w:right w:w="62" w:type="dxa"/>
            </w:tcMar>
          </w:tcPr>
          <w:p w:rsidR="00000000" w:rsidRPr="00171CF2" w:rsidP="00171CF2">
            <w:pPr>
              <w:pStyle w:val="ListBullet"/>
            </w:pPr>
            <w:r w:rsidRPr="00171CF2">
              <w:t>end caps</w:t>
            </w:r>
          </w:p>
          <w:p w:rsidR="00000000" w:rsidRPr="00171CF2" w:rsidP="00171CF2">
            <w:pPr>
              <w:pStyle w:val="ListBullet"/>
            </w:pPr>
            <w:r w:rsidRPr="00171CF2">
              <w:t>cased or fa</w:t>
            </w:r>
            <w:r w:rsidRPr="00171CF2">
              <w:t>ctory run size (FRS) blocks</w:t>
            </w:r>
          </w:p>
          <w:p w:rsidR="00000000" w:rsidRPr="00171CF2" w:rsidP="00171CF2">
            <w:pPr>
              <w:pStyle w:val="ListBullet"/>
            </w:pPr>
            <w:r w:rsidRPr="00171CF2">
              <w:t>large glass panels</w:t>
            </w:r>
          </w:p>
          <w:p w:rsidR="00000000" w:rsidP="00171CF2">
            <w:pPr>
              <w:pStyle w:val="ListBullet"/>
              <w:rPr>
                <w:lang w:val="en-NZ"/>
              </w:rPr>
            </w:pPr>
            <w:r w:rsidRPr="00171CF2">
              <w:t>annealed or laminated glass</w:t>
            </w:r>
          </w:p>
        </w:tc>
      </w:tr>
      <w:tr w:rsidTr="00171C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rPr>
                <w:rStyle w:val="SpecialBold"/>
              </w:rPr>
              <w:t>Mechanical handling equipment include:</w:t>
            </w:r>
          </w:p>
        </w:tc>
        <w:tc>
          <w:tcPr>
            <w:tcW w:w="6312" w:type="dxa"/>
            <w:tcBorders>
              <w:top w:val="nil"/>
              <w:left w:val="nil"/>
              <w:bottom w:val="nil"/>
              <w:right w:val="nil"/>
            </w:tcBorders>
            <w:tcMar>
              <w:top w:w="0" w:type="dxa"/>
              <w:left w:w="62" w:type="dxa"/>
              <w:bottom w:w="0" w:type="dxa"/>
              <w:right w:w="62" w:type="dxa"/>
            </w:tcMar>
          </w:tcPr>
          <w:p w:rsidR="00000000" w:rsidRPr="00171CF2" w:rsidP="00171CF2">
            <w:pPr>
              <w:pStyle w:val="ListBullet"/>
            </w:pPr>
            <w:r w:rsidRPr="00171CF2">
              <w:t>gantry cranes up to 4.9 safe working load (SWL)</w:t>
            </w:r>
          </w:p>
          <w:p w:rsidR="00000000" w:rsidRPr="00171CF2" w:rsidP="00171CF2">
            <w:pPr>
              <w:pStyle w:val="ListBullet"/>
            </w:pPr>
            <w:r w:rsidRPr="00171CF2">
              <w:t>block grabs</w:t>
            </w:r>
          </w:p>
          <w:p w:rsidR="00000000" w:rsidP="00171CF2">
            <w:pPr>
              <w:pStyle w:val="ListBullet"/>
              <w:rPr>
                <w:lang w:val="en-NZ"/>
              </w:rPr>
            </w:pPr>
            <w:r w:rsidRPr="00171CF2">
              <w:t>slings an</w:t>
            </w:r>
            <w:r w:rsidRPr="00171CF2">
              <w:t>d chains (AS 1418 Set:2009 Cranes, hoists and winches Set, and licensing requirements for use of slings and chains should be considered)</w:t>
            </w:r>
          </w:p>
        </w:tc>
      </w:tr>
      <w:tr w:rsidTr="00171C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1CF2" w:rsidP="00171CF2">
            <w:pPr>
              <w:pStyle w:val="BodyText"/>
            </w:pPr>
            <w:r w:rsidRPr="00171CF2">
              <w:rPr>
                <w:rStyle w:val="SpecialBold"/>
              </w:rPr>
              <w:t>Personal protective equipment includes:</w:t>
            </w:r>
          </w:p>
          <w:p w:rsidR="00000000" w:rsidP="00171CF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1CF2" w:rsidP="00171CF2">
            <w:pPr>
              <w:pStyle w:val="ListBullet"/>
            </w:pPr>
            <w:r w:rsidRPr="00171CF2">
              <w:t>that prescribed under legislation, regulation and enterprise policies and pr</w:t>
            </w:r>
            <w:r w:rsidRPr="00171CF2">
              <w:t>actices for overhead lifting:</w:t>
            </w:r>
          </w:p>
          <w:p w:rsidR="00000000" w:rsidRPr="00171CF2" w:rsidP="00171CF2">
            <w:pPr>
              <w:pStyle w:val="ListBullet2"/>
            </w:pPr>
            <w:r w:rsidRPr="00171CF2">
              <w:t>gauntlets</w:t>
            </w:r>
          </w:p>
          <w:p w:rsidR="00000000" w:rsidRPr="00171CF2" w:rsidP="00171CF2">
            <w:pPr>
              <w:pStyle w:val="ListBullet2"/>
            </w:pPr>
            <w:r w:rsidRPr="00171CF2">
              <w:t>gloves</w:t>
            </w:r>
          </w:p>
          <w:p w:rsidR="00000000" w:rsidRPr="00171CF2" w:rsidP="00171CF2">
            <w:pPr>
              <w:pStyle w:val="ListBullet2"/>
            </w:pPr>
            <w:r w:rsidRPr="00171CF2">
              <w:t>safety glasses</w:t>
            </w:r>
          </w:p>
          <w:p w:rsidR="00000000" w:rsidRPr="00171CF2" w:rsidP="00171CF2">
            <w:pPr>
              <w:pStyle w:val="ListBullet2"/>
            </w:pPr>
            <w:r w:rsidRPr="00171CF2">
              <w:t>safety footwear</w:t>
            </w:r>
          </w:p>
          <w:p w:rsidR="00000000" w:rsidRPr="00171CF2" w:rsidP="00171CF2">
            <w:pPr>
              <w:pStyle w:val="ListBullet2"/>
            </w:pPr>
            <w:r w:rsidRPr="00171CF2">
              <w:t>hard hats</w:t>
            </w:r>
          </w:p>
          <w:p w:rsidR="00000000" w:rsidRPr="00171CF2" w:rsidP="00171CF2">
            <w:pPr>
              <w:pStyle w:val="ListBullet2"/>
            </w:pPr>
            <w:r w:rsidRPr="00171CF2">
              <w:t>aprons and overalls</w:t>
            </w:r>
          </w:p>
          <w:p w:rsidR="00000000" w:rsidP="00171CF2">
            <w:pPr>
              <w:pStyle w:val="ListBullet2"/>
              <w:rPr>
                <w:lang w:val="en-NZ"/>
              </w:rPr>
            </w:pPr>
            <w:r w:rsidRPr="00171CF2">
              <w:t>Bolero and harness</w:t>
            </w:r>
          </w:p>
        </w:tc>
      </w:tr>
      <w:tr w:rsidTr="00171CF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1CF2">
            <w:pPr>
              <w:pStyle w:val="BodyText"/>
              <w:rPr>
                <w:lang w:val="en-NZ"/>
              </w:rPr>
            </w:pPr>
            <w:r w:rsidRPr="00171CF2">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71CF2" w:rsidP="00171CF2">
            <w:pPr>
              <w:pStyle w:val="ListBullet"/>
            </w:pPr>
            <w:r w:rsidRPr="00171CF2">
              <w:t xml:space="preserve">workplace procedures relating to the use of tools and equipment and personal protective </w:t>
            </w:r>
            <w:r w:rsidRPr="00171CF2">
              <w:t xml:space="preserve">equipment </w:t>
            </w:r>
          </w:p>
          <w:p w:rsidR="00000000" w:rsidRPr="00171CF2" w:rsidP="00171CF2">
            <w:pPr>
              <w:pStyle w:val="ListBullet"/>
            </w:pPr>
            <w:r w:rsidRPr="00171CF2">
              <w:t xml:space="preserve">work instructions, including job sheets, cutting lists, plans, drawings and designs </w:t>
            </w:r>
          </w:p>
          <w:p w:rsidR="00000000" w:rsidRPr="00171CF2" w:rsidP="00171CF2">
            <w:pPr>
              <w:pStyle w:val="ListBullet"/>
            </w:pPr>
            <w:r w:rsidRPr="00171CF2">
              <w:t xml:space="preserve">workplace procedures relating to reporting and communication </w:t>
            </w:r>
          </w:p>
          <w:p w:rsidR="00000000" w:rsidRPr="00171CF2" w:rsidP="00171CF2">
            <w:pPr>
              <w:pStyle w:val="ListBullet"/>
            </w:pPr>
            <w:r w:rsidRPr="00171CF2">
              <w:t>manufacturer specifications and operational procedures</w:t>
            </w:r>
          </w:p>
        </w:tc>
      </w:tr>
    </w:tbl>
    <w:p w:rsidR="00000000" w:rsidRPr="00171CF2" w:rsidP="00171CF2">
      <w:pPr>
        <w:pStyle w:val="BodyText"/>
      </w:pPr>
    </w:p>
    <w:p w:rsidR="00000000" w:rsidRPr="00171CF2" w:rsidP="00171CF2">
      <w:pPr>
        <w:pStyle w:val="AllowPageBreak"/>
      </w:pPr>
    </w:p>
    <w:p w:rsidR="00000000" w:rsidRPr="00171CF2" w:rsidP="00171CF2">
      <w:pPr>
        <w:pStyle w:val="Heading1"/>
      </w:pPr>
      <w:bookmarkStart w:id="9" w:name="O_632228"/>
      <w:bookmarkEnd w:id="9"/>
      <w:r w:rsidRPr="00171CF2">
        <w:t>Unit Mapping Information</w:t>
      </w:r>
    </w:p>
    <w:p w:rsidR="00000000" w:rsidRPr="00171CF2" w:rsidP="00171CF2">
      <w:pPr>
        <w:pStyle w:val="BodyText"/>
      </w:pPr>
      <w:r w:rsidRPr="00171CF2">
        <w:t>Supersedes and is equivalent to LMFGG3003C Move block/bulk glass sheet by mechanical means.</w:t>
      </w:r>
    </w:p>
    <w:p w:rsidR="00000000" w:rsidRPr="00171CF2" w:rsidP="00171CF2">
      <w:pPr>
        <w:pStyle w:val="AllowPageBreak"/>
      </w:pPr>
    </w:p>
    <w:p w:rsidR="00000000" w:rsidRPr="00171CF2" w:rsidP="00171CF2">
      <w:pPr>
        <w:pStyle w:val="Heading1"/>
      </w:pPr>
      <w:bookmarkStart w:id="10" w:name="O_632221"/>
      <w:bookmarkEnd w:id="10"/>
      <w:r w:rsidRPr="00171CF2">
        <w:t>Links</w:t>
      </w:r>
    </w:p>
    <w:p w:rsidR="00000000" w:rsidRPr="00171CF2" w:rsidP="00171CF2">
      <w:pPr>
        <w:pStyle w:val="BodyText"/>
      </w:pPr>
      <w:r w:rsidRPr="00171CF2">
        <w:t>Companion Volume implementation guides are found in VETNet - https://vetnet.education.gov.au/Pages/TrainingDocs.aspx?q=0601ab95-583a-4e93-b2</w:t>
      </w:r>
      <w:r w:rsidRPr="00171CF2">
        <w:t>d4-cfb27b03ed73</w:t>
      </w:r>
    </w:p>
    <w:p w:rsidR="00000000" w:rsidRPr="00171CF2" w:rsidP="00171CF2"/>
    <w:sectPr w:rsidSect="00171C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2" w:rsidRPr="00CA64FE" w:rsidP="00CA64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FE" w:rsidP="00171C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A64FE" w:rsidP="00171CF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64FE" w:rsidP="00171C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1CF2" w:rsidRPr="00CA64FE" w:rsidP="00CA64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C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4FE" w:rsidRPr="002D2AF8" w:rsidP="00171CF2">
    <w:pPr>
      <w:pStyle w:val="Header"/>
      <w:framePr w:wrap="around"/>
    </w:pPr>
    <w:r>
      <w:fldChar w:fldCharType="begin"/>
    </w:r>
    <w:r>
      <w:instrText xml:space="preserve"> TITLE   \* MERGEFORMAT </w:instrText>
    </w:r>
    <w:r>
      <w:fldChar w:fldCharType="separate"/>
    </w:r>
    <w:r>
      <w:t>MSFGG3003 Move block and bulk glass sheet by mechanical means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CA64FE" w:rsidP="00171C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663C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DAF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3881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1C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1CF2"/>
    <w:pPr>
      <w:spacing w:before="360" w:after="60"/>
      <w:outlineLvl w:val="0"/>
    </w:pPr>
    <w:rPr>
      <w:sz w:val="32"/>
    </w:rPr>
  </w:style>
  <w:style w:type="paragraph" w:styleId="Heading2">
    <w:name w:val="heading 2"/>
    <w:basedOn w:val="HeadingBase"/>
    <w:next w:val="BodyText"/>
    <w:link w:val="Heading2Char"/>
    <w:qFormat/>
    <w:rsid w:val="00171CF2"/>
    <w:pPr>
      <w:keepLines/>
      <w:spacing w:before="240" w:after="120"/>
      <w:outlineLvl w:val="1"/>
    </w:pPr>
    <w:rPr>
      <w:sz w:val="28"/>
      <w:szCs w:val="40"/>
    </w:rPr>
  </w:style>
  <w:style w:type="paragraph" w:styleId="Heading3">
    <w:name w:val="heading 3"/>
    <w:basedOn w:val="HeadingBase"/>
    <w:next w:val="BodyText"/>
    <w:link w:val="Heading3Char"/>
    <w:qFormat/>
    <w:rsid w:val="00171CF2"/>
    <w:pPr>
      <w:spacing w:before="180" w:after="120"/>
      <w:outlineLvl w:val="2"/>
    </w:pPr>
    <w:rPr>
      <w:spacing w:val="-10"/>
      <w:kern w:val="32"/>
    </w:rPr>
  </w:style>
  <w:style w:type="paragraph" w:styleId="Heading4">
    <w:name w:val="heading 4"/>
    <w:basedOn w:val="HeadingBase"/>
    <w:next w:val="BodyText"/>
    <w:link w:val="Heading4Char"/>
    <w:qFormat/>
    <w:rsid w:val="00171CF2"/>
    <w:pPr>
      <w:spacing w:before="160" w:after="120"/>
      <w:outlineLvl w:val="3"/>
    </w:pPr>
    <w:rPr>
      <w:sz w:val="22"/>
    </w:rPr>
  </w:style>
  <w:style w:type="paragraph" w:styleId="Heading5">
    <w:name w:val="heading 5"/>
    <w:basedOn w:val="HeadingBase"/>
    <w:next w:val="Normal"/>
    <w:link w:val="Heading5Char"/>
    <w:qFormat/>
    <w:rsid w:val="00171CF2"/>
    <w:pPr>
      <w:spacing w:before="80"/>
      <w:outlineLvl w:val="4"/>
    </w:pPr>
    <w:rPr>
      <w:color w:val="918585"/>
      <w:sz w:val="20"/>
    </w:rPr>
  </w:style>
  <w:style w:type="paragraph" w:styleId="Heading6">
    <w:name w:val="heading 6"/>
    <w:basedOn w:val="HeadingBase"/>
    <w:next w:val="Normal"/>
    <w:link w:val="Heading6Char"/>
    <w:qFormat/>
    <w:rsid w:val="00171CF2"/>
    <w:pPr>
      <w:spacing w:before="60"/>
      <w:outlineLvl w:val="5"/>
    </w:pPr>
    <w:rPr>
      <w:color w:val="918585"/>
      <w:sz w:val="20"/>
    </w:rPr>
  </w:style>
  <w:style w:type="paragraph" w:styleId="Heading7">
    <w:name w:val="heading 7"/>
    <w:basedOn w:val="Normal"/>
    <w:next w:val="Normal"/>
    <w:link w:val="Heading7Char"/>
    <w:qFormat/>
    <w:rsid w:val="00171CF2"/>
    <w:pPr>
      <w:ind w:left="720"/>
      <w:outlineLvl w:val="6"/>
    </w:pPr>
    <w:rPr>
      <w:i/>
    </w:rPr>
  </w:style>
  <w:style w:type="paragraph" w:styleId="Heading8">
    <w:name w:val="heading 8"/>
    <w:basedOn w:val="Normal"/>
    <w:next w:val="Normal"/>
    <w:link w:val="Heading8Char"/>
    <w:qFormat/>
    <w:rsid w:val="00171CF2"/>
    <w:pPr>
      <w:ind w:left="720"/>
      <w:outlineLvl w:val="7"/>
    </w:pPr>
    <w:rPr>
      <w:i/>
    </w:rPr>
  </w:style>
  <w:style w:type="paragraph" w:styleId="Heading9">
    <w:name w:val="heading 9"/>
    <w:basedOn w:val="Normal"/>
    <w:next w:val="Normal"/>
    <w:link w:val="Heading9Char"/>
    <w:qFormat/>
    <w:rsid w:val="00171CF2"/>
    <w:pPr>
      <w:ind w:left="720"/>
      <w:outlineLvl w:val="8"/>
    </w:pPr>
    <w:rPr>
      <w:i/>
    </w:rPr>
  </w:style>
  <w:style w:type="character" w:default="1" w:styleId="DefaultParagraphFont">
    <w:name w:val="Default Paragraph Font"/>
    <w:uiPriority w:val="1"/>
    <w:unhideWhenUsed/>
    <w:rsid w:val="00171C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1CF2"/>
  </w:style>
  <w:style w:type="character" w:customStyle="1" w:styleId="Heading1Char">
    <w:name w:val="Heading 1 Char"/>
    <w:basedOn w:val="DefaultParagraphFont"/>
    <w:link w:val="Heading1"/>
    <w:rsid w:val="00171CF2"/>
    <w:rPr>
      <w:rFonts w:ascii="Times New Roman" w:eastAsia="Times New Roman" w:hAnsi="Times New Roman" w:cs="Times New Roman"/>
      <w:b/>
      <w:sz w:val="32"/>
      <w:szCs w:val="20"/>
      <w:lang w:eastAsia="en-US"/>
    </w:rPr>
  </w:style>
  <w:style w:type="paragraph" w:styleId="BodyText">
    <w:name w:val="Body Text"/>
    <w:basedOn w:val="Normal"/>
    <w:link w:val="BodyTextChar"/>
    <w:rsid w:val="00171C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1CF2"/>
    <w:rPr>
      <w:rFonts w:ascii="Times New Roman" w:eastAsia="Times New Roman" w:hAnsi="Times New Roman" w:cs="Times New Roman"/>
      <w:sz w:val="24"/>
      <w:lang w:eastAsia="en-US"/>
    </w:rPr>
  </w:style>
  <w:style w:type="paragraph" w:styleId="ListBullet">
    <w:name w:val="List Bullet"/>
    <w:basedOn w:val="List"/>
    <w:rsid w:val="00171CF2"/>
    <w:pPr>
      <w:numPr>
        <w:numId w:val="13"/>
      </w:numPr>
      <w:tabs>
        <w:tab w:val="clear" w:pos="340"/>
      </w:tabs>
      <w:spacing w:before="40" w:after="40"/>
    </w:pPr>
  </w:style>
  <w:style w:type="character" w:customStyle="1" w:styleId="SpecialBold">
    <w:name w:val="Special Bold"/>
    <w:basedOn w:val="DefaultParagraphFont"/>
    <w:rsid w:val="00171CF2"/>
    <w:rPr>
      <w:b/>
      <w:spacing w:val="0"/>
    </w:rPr>
  </w:style>
  <w:style w:type="paragraph" w:styleId="ListBullet2">
    <w:name w:val="List Bullet 2"/>
    <w:basedOn w:val="List2"/>
    <w:rsid w:val="00171CF2"/>
    <w:pPr>
      <w:numPr>
        <w:numId w:val="14"/>
      </w:numPr>
      <w:tabs>
        <w:tab w:val="clear" w:pos="680"/>
      </w:tabs>
    </w:pPr>
  </w:style>
  <w:style w:type="paragraph" w:customStyle="1" w:styleId="SuperHeading">
    <w:name w:val="SuperHeading"/>
    <w:basedOn w:val="Normal"/>
    <w:rsid w:val="00171CF2"/>
    <w:pPr>
      <w:spacing w:before="240" w:after="120"/>
      <w:outlineLvl w:val="0"/>
    </w:pPr>
    <w:rPr>
      <w:rFonts w:ascii="Times New Roman" w:hAnsi="Times New Roman"/>
      <w:b/>
      <w:sz w:val="32"/>
    </w:rPr>
  </w:style>
  <w:style w:type="paragraph" w:customStyle="1" w:styleId="AllowPageBreak">
    <w:name w:val="AllowPageBreak"/>
    <w:rsid w:val="00171C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1C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1C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1C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1C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1C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1C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1C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1CF2"/>
    <w:rPr>
      <w:rFonts w:ascii="Courier New" w:eastAsia="Times New Roman" w:hAnsi="Courier New" w:cs="Times New Roman"/>
      <w:i/>
      <w:szCs w:val="20"/>
      <w:lang w:eastAsia="en-US"/>
    </w:rPr>
  </w:style>
  <w:style w:type="paragraph" w:customStyle="1" w:styleId="HeadingBase">
    <w:name w:val="Heading Base"/>
    <w:rsid w:val="00171C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1CF2"/>
    <w:pPr>
      <w:tabs>
        <w:tab w:val="right" w:leader="dot" w:pos="9072"/>
      </w:tabs>
      <w:ind w:left="567"/>
    </w:pPr>
    <w:rPr>
      <w:szCs w:val="22"/>
    </w:rPr>
  </w:style>
  <w:style w:type="paragraph" w:customStyle="1" w:styleId="TOCBase">
    <w:name w:val="TOC Base"/>
    <w:rsid w:val="00171C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1CF2"/>
    <w:pPr>
      <w:tabs>
        <w:tab w:val="right" w:leader="dot" w:pos="9072"/>
      </w:tabs>
      <w:spacing w:before="40" w:after="40"/>
      <w:ind w:left="284"/>
    </w:pPr>
    <w:rPr>
      <w:rFonts w:ascii="Times New Roman" w:hAnsi="Times New Roman"/>
    </w:rPr>
  </w:style>
  <w:style w:type="paragraph" w:styleId="TOC1">
    <w:name w:val="toc 1"/>
    <w:basedOn w:val="TOCBase"/>
    <w:next w:val="Normal"/>
    <w:rsid w:val="00171C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1C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1CF2"/>
    <w:rPr>
      <w:rFonts w:ascii="Times New Roman" w:eastAsia="Times New Roman" w:hAnsi="Times New Roman" w:cs="Times New Roman"/>
      <w:sz w:val="16"/>
      <w:lang w:eastAsia="en-US"/>
    </w:rPr>
  </w:style>
  <w:style w:type="paragraph" w:styleId="Title">
    <w:name w:val="Title"/>
    <w:basedOn w:val="HeadingBase"/>
    <w:link w:val="TitleChar"/>
    <w:qFormat/>
    <w:rsid w:val="00171CF2"/>
    <w:pPr>
      <w:spacing w:before="5040"/>
      <w:jc w:val="center"/>
    </w:pPr>
    <w:rPr>
      <w:sz w:val="48"/>
      <w:szCs w:val="72"/>
      <w:lang w:val="en-US"/>
    </w:rPr>
  </w:style>
  <w:style w:type="character" w:customStyle="1" w:styleId="TitleChar">
    <w:name w:val="Title Char"/>
    <w:basedOn w:val="DefaultParagraphFont"/>
    <w:link w:val="Title"/>
    <w:rsid w:val="00171C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1CF2"/>
    <w:pPr>
      <w:tabs>
        <w:tab w:val="left" w:pos="3600"/>
        <w:tab w:val="left" w:pos="3958"/>
      </w:tabs>
    </w:pPr>
  </w:style>
  <w:style w:type="paragraph" w:styleId="List">
    <w:name w:val="List"/>
    <w:basedOn w:val="BodyText"/>
    <w:next w:val="BodyText"/>
    <w:rsid w:val="00171CF2"/>
    <w:pPr>
      <w:tabs>
        <w:tab w:val="left" w:pos="340"/>
      </w:tabs>
      <w:spacing w:before="60" w:after="60"/>
      <w:ind w:left="340" w:hanging="340"/>
    </w:pPr>
  </w:style>
  <w:style w:type="paragraph" w:customStyle="1" w:styleId="Note">
    <w:name w:val="Note"/>
    <w:basedOn w:val="BodyText"/>
    <w:rsid w:val="00171C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1CF2"/>
    <w:pPr>
      <w:framePr w:wrap="auto" w:hAnchor="text" w:y="6049"/>
    </w:pPr>
    <w:rPr>
      <w:color w:val="000000"/>
      <w:sz w:val="40"/>
    </w:rPr>
  </w:style>
  <w:style w:type="paragraph" w:customStyle="1" w:styleId="TOCTitle">
    <w:name w:val="TOCTitle"/>
    <w:basedOn w:val="Heading1"/>
    <w:rsid w:val="00171CF2"/>
    <w:pPr>
      <w:spacing w:after="240"/>
      <w:jc w:val="center"/>
      <w:outlineLvl w:val="9"/>
    </w:pPr>
    <w:rPr>
      <w:caps/>
    </w:rPr>
  </w:style>
  <w:style w:type="paragraph" w:customStyle="1" w:styleId="Version">
    <w:name w:val="Version"/>
    <w:rsid w:val="00171C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1CF2"/>
    <w:pPr>
      <w:keepNext w:val="0"/>
      <w:tabs>
        <w:tab w:val="right" w:pos="4176"/>
      </w:tabs>
      <w:ind w:left="198" w:hanging="198"/>
    </w:pPr>
    <w:rPr>
      <w:rFonts w:ascii="Garamond" w:hAnsi="Garamond"/>
    </w:rPr>
  </w:style>
  <w:style w:type="paragraph" w:styleId="IndexHeading">
    <w:name w:val="index heading"/>
    <w:basedOn w:val="Normal"/>
    <w:next w:val="Index1"/>
    <w:semiHidden/>
    <w:rsid w:val="00171CF2"/>
    <w:pPr>
      <w:spacing w:before="120" w:after="120"/>
    </w:pPr>
    <w:rPr>
      <w:rFonts w:ascii="Arial" w:hAnsi="Arial"/>
      <w:b/>
      <w:color w:val="918585"/>
      <w:sz w:val="24"/>
    </w:rPr>
  </w:style>
  <w:style w:type="paragraph" w:styleId="Header">
    <w:name w:val="header"/>
    <w:basedOn w:val="Normal"/>
    <w:link w:val="HeaderChar"/>
    <w:rsid w:val="00171C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1CF2"/>
    <w:rPr>
      <w:rFonts w:ascii="Times New Roman" w:eastAsia="Times New Roman" w:hAnsi="Times New Roman" w:cs="Times New Roman"/>
      <w:sz w:val="16"/>
      <w:szCs w:val="20"/>
      <w:lang w:val="en-GB" w:eastAsia="en-US"/>
    </w:rPr>
  </w:style>
  <w:style w:type="paragraph" w:customStyle="1" w:styleId="Chapter">
    <w:name w:val="Chapter"/>
    <w:basedOn w:val="Normal"/>
    <w:rsid w:val="00171CF2"/>
    <w:pPr>
      <w:spacing w:before="240"/>
    </w:pPr>
    <w:rPr>
      <w:rFonts w:ascii="Times New Roman" w:hAnsi="Times New Roman"/>
      <w:smallCaps/>
      <w:spacing w:val="80"/>
      <w:sz w:val="28"/>
    </w:rPr>
  </w:style>
  <w:style w:type="paragraph" w:customStyle="1" w:styleId="InChapter">
    <w:name w:val="InChapter"/>
    <w:basedOn w:val="Heading3"/>
    <w:rsid w:val="00171CF2"/>
    <w:pPr>
      <w:spacing w:after="240"/>
      <w:outlineLvl w:val="9"/>
    </w:pPr>
    <w:rPr>
      <w:noProof/>
    </w:rPr>
  </w:style>
  <w:style w:type="paragraph" w:styleId="Index2">
    <w:name w:val="index 2"/>
    <w:basedOn w:val="Normal"/>
    <w:next w:val="Normal"/>
    <w:semiHidden/>
    <w:rsid w:val="00171CF2"/>
    <w:pPr>
      <w:tabs>
        <w:tab w:val="right" w:pos="4176"/>
      </w:tabs>
      <w:ind w:left="568" w:hanging="284"/>
    </w:pPr>
    <w:rPr>
      <w:rFonts w:ascii="Garamond" w:hAnsi="Garamond"/>
    </w:rPr>
  </w:style>
  <w:style w:type="paragraph" w:customStyle="1" w:styleId="Byline">
    <w:name w:val="Byline"/>
    <w:rsid w:val="00171C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1CF2"/>
    <w:pPr>
      <w:tabs>
        <w:tab w:val="clear" w:pos="3600"/>
        <w:tab w:val="clear" w:pos="3958"/>
      </w:tabs>
      <w:jc w:val="right"/>
    </w:pPr>
  </w:style>
  <w:style w:type="character" w:styleId="Emphasis">
    <w:name w:val="Emphasis"/>
    <w:basedOn w:val="DefaultParagraphFont"/>
    <w:qFormat/>
    <w:rsid w:val="00171CF2"/>
    <w:rPr>
      <w:i/>
    </w:rPr>
  </w:style>
  <w:style w:type="paragraph" w:styleId="Caption">
    <w:name w:val="caption"/>
    <w:basedOn w:val="BodyText"/>
    <w:next w:val="Normal"/>
    <w:qFormat/>
    <w:rsid w:val="00171CF2"/>
    <w:pPr>
      <w:framePr w:w="2268" w:hSpace="181" w:vSpace="181" w:wrap="around" w:vAnchor="text" w:hAnchor="page" w:x="1135" w:y="285" w:anchorLock="1"/>
    </w:pPr>
    <w:rPr>
      <w:i/>
    </w:rPr>
  </w:style>
  <w:style w:type="paragraph" w:customStyle="1" w:styleId="MiniTOCTitle">
    <w:name w:val="MiniTOCTitle"/>
    <w:basedOn w:val="Heading4"/>
    <w:rsid w:val="00171CF2"/>
    <w:pPr>
      <w:spacing w:before="240"/>
      <w:outlineLvl w:val="9"/>
    </w:pPr>
    <w:rPr>
      <w:noProof/>
      <w:sz w:val="24"/>
    </w:rPr>
  </w:style>
  <w:style w:type="paragraph" w:customStyle="1" w:styleId="MiniTOCItem">
    <w:name w:val="MiniTOCItem"/>
    <w:basedOn w:val="ListBullet"/>
    <w:rsid w:val="00171CF2"/>
    <w:pPr>
      <w:numPr>
        <w:numId w:val="0"/>
      </w:numPr>
      <w:tabs>
        <w:tab w:val="right" w:leader="dot" w:pos="6521"/>
      </w:tabs>
      <w:spacing w:before="0" w:after="0"/>
    </w:pPr>
  </w:style>
  <w:style w:type="paragraph" w:customStyle="1" w:styleId="TOFTitle">
    <w:name w:val="TOFTitle"/>
    <w:basedOn w:val="TOCTitle"/>
    <w:rsid w:val="00171CF2"/>
  </w:style>
  <w:style w:type="paragraph" w:styleId="TableofFigures">
    <w:name w:val="table of figures"/>
    <w:basedOn w:val="Normal"/>
    <w:next w:val="Normal"/>
    <w:semiHidden/>
    <w:rsid w:val="00171CF2"/>
    <w:pPr>
      <w:tabs>
        <w:tab w:val="right" w:leader="dot" w:pos="9072"/>
      </w:tabs>
      <w:ind w:left="970" w:hanging="403"/>
    </w:pPr>
    <w:rPr>
      <w:rFonts w:ascii="Times New Roman" w:hAnsi="Times New Roman"/>
      <w:b/>
    </w:rPr>
  </w:style>
  <w:style w:type="paragraph" w:styleId="ListNumber">
    <w:name w:val="List Number"/>
    <w:basedOn w:val="List"/>
    <w:rsid w:val="00171CF2"/>
    <w:pPr>
      <w:numPr>
        <w:numId w:val="11"/>
      </w:numPr>
    </w:pPr>
  </w:style>
  <w:style w:type="character" w:customStyle="1" w:styleId="WingdingSymbols">
    <w:name w:val="Wingding Symbols"/>
    <w:rsid w:val="00171CF2"/>
    <w:rPr>
      <w:rFonts w:ascii="Wingdings" w:hAnsi="Wingdings"/>
    </w:rPr>
  </w:style>
  <w:style w:type="paragraph" w:customStyle="1" w:styleId="TableHeading">
    <w:name w:val="Table Heading"/>
    <w:basedOn w:val="HeadingBase"/>
    <w:rsid w:val="00171CF2"/>
    <w:pPr>
      <w:keepLines/>
      <w:pBdr>
        <w:bottom w:val="single" w:sz="6" w:space="1" w:color="918585"/>
      </w:pBdr>
      <w:spacing w:before="240"/>
    </w:pPr>
  </w:style>
  <w:style w:type="character" w:customStyle="1" w:styleId="HotSpot">
    <w:name w:val="HotSpot"/>
    <w:rsid w:val="00171CF2"/>
    <w:rPr>
      <w:color w:val="0033CC"/>
      <w:u w:val="none"/>
    </w:rPr>
  </w:style>
  <w:style w:type="paragraph" w:customStyle="1" w:styleId="BodyTextRight">
    <w:name w:val="Body Text Right"/>
    <w:basedOn w:val="BodyText"/>
    <w:rsid w:val="00171CF2"/>
    <w:pPr>
      <w:spacing w:before="0" w:after="0"/>
      <w:jc w:val="right"/>
    </w:pPr>
  </w:style>
  <w:style w:type="paragraph" w:styleId="Index3">
    <w:name w:val="index 3"/>
    <w:basedOn w:val="ListNumber2"/>
    <w:next w:val="Normal"/>
    <w:semiHidden/>
    <w:rsid w:val="00171CF2"/>
    <w:pPr>
      <w:numPr>
        <w:numId w:val="0"/>
      </w:numPr>
      <w:tabs>
        <w:tab w:val="right" w:leader="dot" w:pos="4176"/>
      </w:tabs>
    </w:pPr>
  </w:style>
  <w:style w:type="paragraph" w:styleId="ListNumber2">
    <w:name w:val="List Number 2"/>
    <w:basedOn w:val="List2"/>
    <w:rsid w:val="00171CF2"/>
    <w:pPr>
      <w:numPr>
        <w:numId w:val="10"/>
      </w:numPr>
      <w:tabs>
        <w:tab w:val="clear" w:pos="1060"/>
      </w:tabs>
    </w:pPr>
  </w:style>
  <w:style w:type="paragraph" w:customStyle="1" w:styleId="MarginNote">
    <w:name w:val="Margin Note"/>
    <w:basedOn w:val="BodyText"/>
    <w:rsid w:val="00171C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1C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1C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1CF2"/>
    <w:rPr>
      <w:sz w:val="32"/>
    </w:rPr>
  </w:style>
  <w:style w:type="paragraph" w:customStyle="1" w:styleId="HeadingProcedure">
    <w:name w:val="Heading Procedure"/>
    <w:basedOn w:val="HeadingBase"/>
    <w:next w:val="Normal"/>
    <w:rsid w:val="00171CF2"/>
    <w:pPr>
      <w:tabs>
        <w:tab w:val="left" w:pos="0"/>
      </w:tabs>
      <w:spacing w:before="120" w:after="60"/>
    </w:pPr>
    <w:rPr>
      <w:i/>
      <w:color w:val="918585"/>
      <w:sz w:val="22"/>
    </w:rPr>
  </w:style>
  <w:style w:type="paragraph" w:customStyle="1" w:styleId="TableBodyText">
    <w:name w:val="Table Body Text"/>
    <w:basedOn w:val="BodyText"/>
    <w:rsid w:val="00171CF2"/>
    <w:pPr>
      <w:spacing w:before="60" w:after="60"/>
    </w:pPr>
  </w:style>
  <w:style w:type="paragraph" w:styleId="ListContinue">
    <w:name w:val="List Continue"/>
    <w:basedOn w:val="List"/>
    <w:rsid w:val="00171CF2"/>
    <w:pPr>
      <w:ind w:firstLine="0"/>
    </w:pPr>
  </w:style>
  <w:style w:type="paragraph" w:customStyle="1" w:styleId="ListNote">
    <w:name w:val="List Note"/>
    <w:basedOn w:val="List"/>
    <w:rsid w:val="00171CF2"/>
    <w:pPr>
      <w:pBdr>
        <w:top w:val="single" w:sz="6" w:space="2" w:color="918585"/>
        <w:bottom w:val="single" w:sz="6" w:space="2" w:color="918585"/>
      </w:pBdr>
      <w:tabs>
        <w:tab w:val="left" w:pos="1021"/>
      </w:tabs>
      <w:ind w:firstLine="0"/>
    </w:pPr>
  </w:style>
  <w:style w:type="paragraph" w:customStyle="1" w:styleId="Warning">
    <w:name w:val="Warning"/>
    <w:basedOn w:val="BodyText"/>
    <w:rsid w:val="00171CF2"/>
    <w:pPr>
      <w:shd w:val="clear" w:color="auto" w:fill="D9D9D9"/>
      <w:tabs>
        <w:tab w:val="left" w:pos="992"/>
      </w:tabs>
      <w:ind w:left="119" w:right="119"/>
    </w:pPr>
    <w:rPr>
      <w:sz w:val="20"/>
    </w:rPr>
  </w:style>
  <w:style w:type="paragraph" w:customStyle="1" w:styleId="MarginIcons">
    <w:name w:val="Margin Icons"/>
    <w:basedOn w:val="BodyText"/>
    <w:rsid w:val="00171C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1CF2"/>
    <w:rPr>
      <w:rFonts w:ascii="Courier New" w:hAnsi="Courier New"/>
    </w:rPr>
  </w:style>
  <w:style w:type="paragraph" w:customStyle="1" w:styleId="NoteBullet">
    <w:name w:val="Note Bullet"/>
    <w:basedOn w:val="Note"/>
    <w:rsid w:val="00171CF2"/>
    <w:pPr>
      <w:tabs>
        <w:tab w:val="clear" w:pos="680"/>
      </w:tabs>
      <w:spacing w:before="60" w:after="60"/>
    </w:pPr>
  </w:style>
  <w:style w:type="paragraph" w:customStyle="1" w:styleId="SubHeading2">
    <w:name w:val="SubHeading2"/>
    <w:basedOn w:val="HeadingBase"/>
    <w:rsid w:val="00171CF2"/>
    <w:pPr>
      <w:spacing w:before="240" w:after="60"/>
    </w:pPr>
    <w:rPr>
      <w:sz w:val="20"/>
    </w:rPr>
  </w:style>
  <w:style w:type="paragraph" w:customStyle="1" w:styleId="SubHeading1">
    <w:name w:val="SubHeading1"/>
    <w:basedOn w:val="HeadingBase"/>
    <w:rsid w:val="00171CF2"/>
    <w:pPr>
      <w:spacing w:before="240" w:after="60"/>
    </w:pPr>
    <w:rPr>
      <w:color w:val="918585"/>
      <w:sz w:val="22"/>
    </w:rPr>
  </w:style>
  <w:style w:type="paragraph" w:customStyle="1" w:styleId="SideHeading">
    <w:name w:val="Side Heading"/>
    <w:basedOn w:val="HeadingBase"/>
    <w:rsid w:val="00171C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1CF2"/>
    <w:pPr>
      <w:numPr>
        <w:numId w:val="12"/>
      </w:numPr>
    </w:pPr>
  </w:style>
  <w:style w:type="paragraph" w:styleId="PlainText">
    <w:name w:val="Plain Text"/>
    <w:basedOn w:val="Normal"/>
    <w:link w:val="PlainTextChar"/>
    <w:rsid w:val="00171CF2"/>
    <w:rPr>
      <w:sz w:val="20"/>
    </w:rPr>
  </w:style>
  <w:style w:type="character" w:customStyle="1" w:styleId="PlainTextChar">
    <w:name w:val="Plain Text Char"/>
    <w:basedOn w:val="DefaultParagraphFont"/>
    <w:link w:val="PlainText"/>
    <w:rsid w:val="00171CF2"/>
    <w:rPr>
      <w:rFonts w:ascii="Courier New" w:eastAsia="Times New Roman" w:hAnsi="Courier New" w:cs="Times New Roman"/>
      <w:sz w:val="20"/>
      <w:szCs w:val="20"/>
      <w:lang w:eastAsia="en-US"/>
    </w:rPr>
  </w:style>
  <w:style w:type="character" w:customStyle="1" w:styleId="MenuOption">
    <w:name w:val="Menu Option"/>
    <w:basedOn w:val="DefaultParagraphFont"/>
    <w:rsid w:val="00171CF2"/>
    <w:rPr>
      <w:b/>
      <w:smallCaps/>
    </w:rPr>
  </w:style>
  <w:style w:type="paragraph" w:customStyle="1" w:styleId="TableListNumber">
    <w:name w:val="Table List Number"/>
    <w:basedOn w:val="ListNumber"/>
    <w:rsid w:val="00171CF2"/>
    <w:pPr>
      <w:numPr>
        <w:numId w:val="0"/>
      </w:numPr>
    </w:pPr>
  </w:style>
  <w:style w:type="paragraph" w:styleId="TOC4">
    <w:name w:val="toc 4"/>
    <w:basedOn w:val="TOCBase"/>
    <w:next w:val="Normal"/>
    <w:semiHidden/>
    <w:rsid w:val="00171CF2"/>
    <w:pPr>
      <w:tabs>
        <w:tab w:val="right" w:leader="dot" w:pos="9071"/>
      </w:tabs>
      <w:ind w:left="1701"/>
    </w:pPr>
  </w:style>
  <w:style w:type="paragraph" w:customStyle="1" w:styleId="ListAlpha">
    <w:name w:val="List Alpha"/>
    <w:basedOn w:val="List"/>
    <w:rsid w:val="00171CF2"/>
    <w:pPr>
      <w:numPr>
        <w:numId w:val="9"/>
      </w:numPr>
    </w:pPr>
  </w:style>
  <w:style w:type="paragraph" w:customStyle="1" w:styleId="ListAlpha2">
    <w:name w:val="List Alpha 2"/>
    <w:basedOn w:val="List2"/>
    <w:rsid w:val="00171CF2"/>
    <w:pPr>
      <w:numPr>
        <w:numId w:val="8"/>
      </w:numPr>
    </w:pPr>
  </w:style>
  <w:style w:type="paragraph" w:styleId="List2">
    <w:name w:val="List 2"/>
    <w:basedOn w:val="BodyText"/>
    <w:rsid w:val="00171CF2"/>
    <w:pPr>
      <w:tabs>
        <w:tab w:val="left" w:pos="680"/>
      </w:tabs>
      <w:spacing w:before="60" w:after="60"/>
      <w:ind w:left="680" w:hanging="340"/>
    </w:pPr>
  </w:style>
  <w:style w:type="paragraph" w:styleId="List3">
    <w:name w:val="List 3"/>
    <w:basedOn w:val="BodyText"/>
    <w:rsid w:val="00171CF2"/>
    <w:pPr>
      <w:tabs>
        <w:tab w:val="left" w:pos="1021"/>
      </w:tabs>
      <w:spacing w:before="60" w:after="60"/>
      <w:ind w:left="1020" w:hanging="340"/>
    </w:pPr>
  </w:style>
  <w:style w:type="paragraph" w:styleId="List4">
    <w:name w:val="List 4"/>
    <w:basedOn w:val="BodyText"/>
    <w:rsid w:val="00171CF2"/>
    <w:pPr>
      <w:tabs>
        <w:tab w:val="left" w:pos="1361"/>
      </w:tabs>
      <w:spacing w:before="60" w:after="60"/>
      <w:ind w:left="1361" w:hanging="340"/>
    </w:pPr>
  </w:style>
  <w:style w:type="paragraph" w:styleId="List5">
    <w:name w:val="List 5"/>
    <w:basedOn w:val="BodyText"/>
    <w:rsid w:val="00171CF2"/>
    <w:pPr>
      <w:tabs>
        <w:tab w:val="left" w:pos="1701"/>
      </w:tabs>
      <w:spacing w:before="60" w:after="60"/>
      <w:ind w:left="1701" w:hanging="340"/>
    </w:pPr>
  </w:style>
  <w:style w:type="paragraph" w:styleId="ListBullet3">
    <w:name w:val="List Bullet 3"/>
    <w:basedOn w:val="List3"/>
    <w:rsid w:val="00171CF2"/>
    <w:pPr>
      <w:numPr>
        <w:numId w:val="15"/>
      </w:numPr>
      <w:tabs>
        <w:tab w:val="clear" w:pos="1021"/>
      </w:tabs>
      <w:ind w:left="1037" w:hanging="357"/>
    </w:pPr>
  </w:style>
  <w:style w:type="paragraph" w:styleId="ListBullet4">
    <w:name w:val="List Bullet 4"/>
    <w:basedOn w:val="List4"/>
    <w:rsid w:val="00171CF2"/>
    <w:pPr>
      <w:numPr>
        <w:numId w:val="3"/>
      </w:numPr>
      <w:tabs>
        <w:tab w:val="clear" w:pos="1361"/>
      </w:tabs>
    </w:pPr>
  </w:style>
  <w:style w:type="paragraph" w:styleId="ListBullet5">
    <w:name w:val="List Bullet 5"/>
    <w:basedOn w:val="List5"/>
    <w:rsid w:val="00171CF2"/>
    <w:pPr>
      <w:numPr>
        <w:numId w:val="4"/>
      </w:numPr>
    </w:pPr>
  </w:style>
  <w:style w:type="paragraph" w:styleId="ListContinue2">
    <w:name w:val="List Continue 2"/>
    <w:basedOn w:val="List2"/>
    <w:rsid w:val="00171CF2"/>
    <w:pPr>
      <w:ind w:firstLine="0"/>
    </w:pPr>
  </w:style>
  <w:style w:type="paragraph" w:styleId="ListContinue3">
    <w:name w:val="List Continue 3"/>
    <w:basedOn w:val="List3"/>
    <w:rsid w:val="00171CF2"/>
    <w:pPr>
      <w:ind w:left="1021" w:firstLine="0"/>
    </w:pPr>
  </w:style>
  <w:style w:type="paragraph" w:styleId="ListContinue4">
    <w:name w:val="List Continue 4"/>
    <w:basedOn w:val="List4"/>
    <w:rsid w:val="00171CF2"/>
    <w:pPr>
      <w:ind w:firstLine="0"/>
    </w:pPr>
  </w:style>
  <w:style w:type="paragraph" w:styleId="ListContinue5">
    <w:name w:val="List Continue 5"/>
    <w:basedOn w:val="List5"/>
    <w:rsid w:val="00171CF2"/>
    <w:pPr>
      <w:ind w:firstLine="0"/>
    </w:pPr>
  </w:style>
  <w:style w:type="paragraph" w:styleId="ListNumber3">
    <w:name w:val="List Number 3"/>
    <w:basedOn w:val="List3"/>
    <w:rsid w:val="00171CF2"/>
    <w:pPr>
      <w:numPr>
        <w:numId w:val="5"/>
      </w:numPr>
    </w:pPr>
  </w:style>
  <w:style w:type="paragraph" w:styleId="ListNumber4">
    <w:name w:val="List Number 4"/>
    <w:basedOn w:val="List4"/>
    <w:rsid w:val="00171CF2"/>
    <w:pPr>
      <w:numPr>
        <w:numId w:val="6"/>
      </w:numPr>
    </w:pPr>
  </w:style>
  <w:style w:type="paragraph" w:styleId="ListNumber5">
    <w:name w:val="List Number 5"/>
    <w:basedOn w:val="List5"/>
    <w:rsid w:val="00171CF2"/>
    <w:pPr>
      <w:numPr>
        <w:numId w:val="7"/>
      </w:numPr>
    </w:pPr>
  </w:style>
  <w:style w:type="paragraph" w:styleId="BlockText">
    <w:name w:val="Block Text"/>
    <w:basedOn w:val="Normal"/>
    <w:rsid w:val="00171CF2"/>
    <w:pPr>
      <w:spacing w:after="120"/>
      <w:ind w:left="1440" w:right="1440"/>
    </w:pPr>
  </w:style>
  <w:style w:type="character" w:customStyle="1" w:styleId="Subscript">
    <w:name w:val="Subscript"/>
    <w:basedOn w:val="DefaultParagraphFont"/>
    <w:rsid w:val="00171CF2"/>
    <w:rPr>
      <w:sz w:val="16"/>
      <w:vertAlign w:val="subscript"/>
    </w:rPr>
  </w:style>
  <w:style w:type="character" w:customStyle="1" w:styleId="Superscript">
    <w:name w:val="Superscript"/>
    <w:basedOn w:val="DefaultParagraphFont"/>
    <w:rsid w:val="00171CF2"/>
    <w:rPr>
      <w:sz w:val="16"/>
      <w:vertAlign w:val="superscript"/>
    </w:rPr>
  </w:style>
  <w:style w:type="character" w:customStyle="1" w:styleId="Symbols">
    <w:name w:val="Symbols"/>
    <w:basedOn w:val="DefaultParagraphFont"/>
    <w:rsid w:val="00171CF2"/>
    <w:rPr>
      <w:rFonts w:ascii="Symbol" w:hAnsi="Symbol"/>
    </w:rPr>
  </w:style>
  <w:style w:type="character" w:customStyle="1" w:styleId="MenuOptions">
    <w:name w:val="Menu Options"/>
    <w:basedOn w:val="DefaultParagraphFont"/>
    <w:rsid w:val="00171CF2"/>
    <w:rPr>
      <w:rFonts w:ascii="Arial Narrow" w:hAnsi="Arial Narrow"/>
      <w:smallCaps/>
    </w:rPr>
  </w:style>
  <w:style w:type="character" w:customStyle="1" w:styleId="Buttons">
    <w:name w:val="Buttons"/>
    <w:basedOn w:val="DefaultParagraphFont"/>
    <w:rsid w:val="00171CF2"/>
    <w:rPr>
      <w:b/>
    </w:rPr>
  </w:style>
  <w:style w:type="character" w:customStyle="1" w:styleId="Underlined">
    <w:name w:val="Underlined"/>
    <w:basedOn w:val="DefaultParagraphFont"/>
    <w:rsid w:val="00171CF2"/>
    <w:rPr>
      <w:u w:val="single"/>
    </w:rPr>
  </w:style>
  <w:style w:type="paragraph" w:customStyle="1" w:styleId="TableBodyTextRight">
    <w:name w:val="Table Body Text Right"/>
    <w:basedOn w:val="TableBodyText"/>
    <w:rsid w:val="00171CF2"/>
    <w:pPr>
      <w:widowControl w:val="0"/>
      <w:autoSpaceDE w:val="0"/>
      <w:autoSpaceDN w:val="0"/>
      <w:adjustRightInd w:val="0"/>
      <w:jc w:val="right"/>
    </w:pPr>
    <w:rPr>
      <w:rFonts w:cs="Arial"/>
      <w:szCs w:val="18"/>
    </w:rPr>
  </w:style>
  <w:style w:type="paragraph" w:customStyle="1" w:styleId="CopyrightText">
    <w:name w:val="Copyright Text"/>
    <w:basedOn w:val="BodyText"/>
    <w:rsid w:val="00171CF2"/>
    <w:rPr>
      <w:sz w:val="18"/>
    </w:rPr>
  </w:style>
  <w:style w:type="paragraph" w:customStyle="1" w:styleId="BodySmallRight">
    <w:name w:val="Body Small Right"/>
    <w:basedOn w:val="BodyTextRight"/>
    <w:rsid w:val="00171CF2"/>
    <w:rPr>
      <w:sz w:val="18"/>
      <w:szCs w:val="18"/>
    </w:rPr>
  </w:style>
  <w:style w:type="paragraph" w:customStyle="1" w:styleId="MarginEdition">
    <w:name w:val="Margin Edition"/>
    <w:basedOn w:val="MarginNote"/>
    <w:rsid w:val="00171CF2"/>
    <w:pPr>
      <w:spacing w:before="0" w:after="0"/>
    </w:pPr>
    <w:rPr>
      <w:rFonts w:ascii="Times New Roman" w:hAnsi="Times New Roman"/>
      <w:color w:val="999999"/>
    </w:rPr>
  </w:style>
  <w:style w:type="paragraph" w:customStyle="1" w:styleId="Spacer">
    <w:name w:val="Spacer"/>
    <w:basedOn w:val="Normal"/>
    <w:rsid w:val="00171CF2"/>
    <w:rPr>
      <w:sz w:val="2"/>
      <w:szCs w:val="2"/>
    </w:rPr>
  </w:style>
  <w:style w:type="character" w:customStyle="1" w:styleId="Small">
    <w:name w:val="Small"/>
    <w:basedOn w:val="DefaultParagraphFont"/>
    <w:rsid w:val="00171CF2"/>
    <w:rPr>
      <w:sz w:val="16"/>
    </w:rPr>
  </w:style>
  <w:style w:type="paragraph" w:customStyle="1" w:styleId="WideTable">
    <w:name w:val="Wide Table"/>
    <w:basedOn w:val="Normal"/>
    <w:rsid w:val="00171CF2"/>
    <w:pPr>
      <w:ind w:left="-1418"/>
    </w:pPr>
    <w:rPr>
      <w:sz w:val="2"/>
      <w:szCs w:val="2"/>
    </w:rPr>
  </w:style>
  <w:style w:type="character" w:styleId="PageNumber">
    <w:name w:val="page number"/>
    <w:basedOn w:val="DefaultParagraphFont"/>
    <w:rsid w:val="00171CF2"/>
  </w:style>
  <w:style w:type="paragraph" w:styleId="Quote">
    <w:name w:val="Quote"/>
    <w:basedOn w:val="Heading1"/>
    <w:link w:val="QuoteChar"/>
    <w:qFormat/>
    <w:rsid w:val="00171CF2"/>
    <w:rPr>
      <w:b w:val="0"/>
      <w:sz w:val="72"/>
      <w:szCs w:val="72"/>
      <w:lang w:val="en-NZ"/>
    </w:rPr>
  </w:style>
  <w:style w:type="character" w:customStyle="1" w:styleId="QuoteChar">
    <w:name w:val="Quote Char"/>
    <w:basedOn w:val="DefaultParagraphFont"/>
    <w:link w:val="Quote"/>
    <w:rsid w:val="00171C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1CF2"/>
    <w:pPr>
      <w:pageBreakBefore/>
    </w:pPr>
  </w:style>
  <w:style w:type="paragraph" w:customStyle="1" w:styleId="Border">
    <w:name w:val="Border"/>
    <w:basedOn w:val="Normal"/>
    <w:qFormat/>
    <w:rsid w:val="00171C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1CF2"/>
    <w:rPr>
      <w:b/>
      <w:bCs/>
      <w:i/>
      <w:iCs/>
      <w:color w:val="auto"/>
    </w:rPr>
  </w:style>
  <w:style w:type="paragraph" w:styleId="IntenseQuote">
    <w:name w:val="Intense Quote"/>
    <w:basedOn w:val="Normal"/>
    <w:next w:val="Normal"/>
    <w:link w:val="IntenseQuoteChar"/>
    <w:uiPriority w:val="30"/>
    <w:qFormat/>
    <w:rsid w:val="00171C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1C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1CF2"/>
    <w:rPr>
      <w:smallCaps/>
      <w:color w:val="auto"/>
      <w:u w:val="single"/>
    </w:rPr>
  </w:style>
  <w:style w:type="character" w:styleId="IntenseReference">
    <w:name w:val="Intense Reference"/>
    <w:basedOn w:val="DefaultParagraphFont"/>
    <w:uiPriority w:val="32"/>
    <w:qFormat/>
    <w:rsid w:val="00171CF2"/>
    <w:rPr>
      <w:b/>
      <w:bCs/>
      <w:smallCaps/>
      <w:color w:val="auto"/>
      <w:spacing w:val="5"/>
      <w:u w:val="single"/>
    </w:rPr>
  </w:style>
  <w:style w:type="paragraph" w:customStyle="1" w:styleId="2ColumnHeading">
    <w:name w:val="2Column Heading"/>
    <w:basedOn w:val="BodyText"/>
    <w:qFormat/>
    <w:rsid w:val="00171CF2"/>
    <w:pPr>
      <w:spacing w:after="60"/>
      <w:ind w:left="-2268"/>
    </w:pPr>
    <w:rPr>
      <w:b/>
    </w:rPr>
  </w:style>
  <w:style w:type="paragraph" w:customStyle="1" w:styleId="Heading1TOC">
    <w:name w:val="Heading1 TOC"/>
    <w:basedOn w:val="Normal"/>
    <w:qFormat/>
    <w:rsid w:val="00171CF2"/>
    <w:pPr>
      <w:spacing w:before="240" w:after="120"/>
    </w:pPr>
    <w:rPr>
      <w:rFonts w:ascii="Times New Roman" w:hAnsi="Times New Roman"/>
      <w:b/>
      <w:sz w:val="32"/>
    </w:rPr>
  </w:style>
  <w:style w:type="paragraph" w:customStyle="1" w:styleId="Heading2TOC">
    <w:name w:val="Heading2 TOC"/>
    <w:basedOn w:val="Normal"/>
    <w:qFormat/>
    <w:rsid w:val="00171CF2"/>
    <w:pPr>
      <w:spacing w:before="240" w:after="60"/>
    </w:pPr>
    <w:rPr>
      <w:rFonts w:ascii="Times New Roman" w:hAnsi="Times New Roman"/>
      <w:b/>
      <w:sz w:val="28"/>
    </w:rPr>
  </w:style>
  <w:style w:type="character" w:customStyle="1" w:styleId="Underline">
    <w:name w:val="Underline"/>
    <w:basedOn w:val="DefaultParagraphFont"/>
    <w:qFormat/>
    <w:rsid w:val="00171CF2"/>
    <w:rPr>
      <w:u w:val="single"/>
    </w:rPr>
  </w:style>
  <w:style w:type="character" w:customStyle="1" w:styleId="BoldandItalics">
    <w:name w:val="Bold and Italics"/>
    <w:qFormat/>
    <w:rsid w:val="00171CF2"/>
    <w:rPr>
      <w:b/>
      <w:i/>
      <w:u w:val="none"/>
    </w:rPr>
  </w:style>
  <w:style w:type="paragraph" w:styleId="BalloonText">
    <w:name w:val="Balloon Text"/>
    <w:basedOn w:val="Normal"/>
    <w:link w:val="BalloonTextChar"/>
    <w:rsid w:val="00171CF2"/>
    <w:rPr>
      <w:rFonts w:ascii="Tahoma" w:hAnsi="Tahoma" w:cs="Tahoma"/>
      <w:sz w:val="16"/>
      <w:szCs w:val="16"/>
    </w:rPr>
  </w:style>
  <w:style w:type="character" w:customStyle="1" w:styleId="BalloonTextChar">
    <w:name w:val="Balloon Text Char"/>
    <w:basedOn w:val="DefaultParagraphFont"/>
    <w:link w:val="BalloonText"/>
    <w:rsid w:val="00171C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1C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1C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1CF2"/>
    <w:rPr>
      <w:b/>
      <w:color w:val="660033"/>
      <w:spacing w:val="0"/>
    </w:rPr>
  </w:style>
  <w:style w:type="paragraph" w:customStyle="1" w:styleId="Nameditemlist">
    <w:name w:val="Named item list"/>
    <w:basedOn w:val="BodyText"/>
    <w:qFormat/>
    <w:rsid w:val="00171C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4543</Characters>
  <Application>Microsoft Office Word</Application>
  <DocSecurity>0</DocSecurity>
  <Lines>197</Lines>
  <Paragraphs>96</Paragraphs>
  <ScaleCrop>false</ScaleCrop>
  <Company>Author-it Software Corporation Ltd.</Company>
  <LinksUpToDate>false</LinksUpToDate>
  <CharactersWithSpaces>5202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MSFGG3003 Move block and bulk glass sheet by mechanical means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2016-12-09T03:32:00Z</dcterms:created>
  <dcterms:modified xsi:type="dcterms:W3CDTF">2016-12-09T03:32:00Z</dcterms:modified>
</cp:coreProperties>
</file>