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3262" w:rsidP="00B83262">
      <w:pPr>
        <w:pStyle w:val="Title"/>
      </w:pPr>
      <w:r>
        <w:fldChar w:fldCharType="begin"/>
      </w:r>
      <w:r>
        <w:instrText xml:space="preserve"> TITLE   \* MERGEFORMAT </w:instrText>
      </w:r>
      <w:r>
        <w:fldChar w:fldCharType="separate"/>
      </w:r>
      <w:r>
        <w:t>MSFGG3001 Store and handle glass</w:t>
      </w:r>
      <w:r>
        <w:fldChar w:fldCharType="end"/>
      </w:r>
    </w:p>
    <w:p w:rsidR="00B83262" w:rsidP="00B83262">
      <w:pPr>
        <w:pStyle w:val="Version"/>
        <w:sectPr w:rsidSect="00173E1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73E15" w:rsidP="00173E15">
      <w:pPr>
        <w:pStyle w:val="SuperHeading"/>
      </w:pPr>
      <w:r w:rsidRPr="00173E15">
        <w:t>MSFGG3001 Store and handle glass</w:t>
      </w:r>
    </w:p>
    <w:p w:rsidR="00000000" w:rsidRPr="00173E15" w:rsidP="00173E15">
      <w:pPr>
        <w:pStyle w:val="Heading1"/>
      </w:pPr>
      <w:bookmarkStart w:id="1" w:name="O_632189"/>
      <w:bookmarkEnd w:id="1"/>
      <w:r w:rsidRPr="00173E15">
        <w:t>Modification History</w:t>
      </w:r>
    </w:p>
    <w:p w:rsidR="00000000" w:rsidRPr="00173E15" w:rsidP="00B83262">
      <w:pPr>
        <w:pStyle w:val="BodyText"/>
      </w:pPr>
      <w:r w:rsidRPr="00173E15">
        <w:t>Release 1 - New unit of competency</w:t>
      </w:r>
    </w:p>
    <w:p w:rsidR="00000000" w:rsidRPr="00173E15" w:rsidP="00173E15">
      <w:pPr>
        <w:pStyle w:val="Heading1"/>
      </w:pPr>
      <w:bookmarkStart w:id="2" w:name="O_632197"/>
      <w:bookmarkEnd w:id="2"/>
      <w:r w:rsidRPr="00173E15">
        <w:t>Application</w:t>
      </w:r>
    </w:p>
    <w:p w:rsidR="00000000" w:rsidRPr="00173E15" w:rsidP="00B83262">
      <w:pPr>
        <w:pStyle w:val="BodyText"/>
      </w:pPr>
      <w:r w:rsidRPr="00173E15">
        <w:t>This unit of competency covers handling, relocating and storing sheet glass in the workplace.</w:t>
      </w:r>
    </w:p>
    <w:p w:rsidR="00000000" w:rsidRPr="00173E15" w:rsidP="00B83262">
      <w:pPr>
        <w:pStyle w:val="BodyText"/>
      </w:pPr>
      <w:r w:rsidRPr="00173E15">
        <w:t>No licensing, legislative or certification requirements apply to this unit a</w:t>
      </w:r>
      <w:r w:rsidRPr="00173E15">
        <w:t>t the time of publication.</w:t>
      </w:r>
    </w:p>
    <w:p w:rsidR="00000000" w:rsidRPr="00173E15" w:rsidP="00173E15">
      <w:pPr>
        <w:pStyle w:val="Heading1"/>
      </w:pPr>
      <w:bookmarkStart w:id="3" w:name="O_632196"/>
      <w:bookmarkEnd w:id="3"/>
      <w:r w:rsidRPr="00173E15">
        <w:t>Pre-requisite Unit</w:t>
      </w:r>
    </w:p>
    <w:p w:rsidR="00000000" w:rsidRPr="00173E15" w:rsidP="00173E15">
      <w:pPr>
        <w:pStyle w:val="Heading1"/>
      </w:pPr>
      <w:bookmarkStart w:id="4" w:name="O_632195"/>
      <w:bookmarkEnd w:id="4"/>
      <w:r w:rsidRPr="00173E15">
        <w:t>Competency Field</w:t>
      </w:r>
    </w:p>
    <w:p w:rsidR="00000000" w:rsidRPr="00173E15" w:rsidP="00173E15">
      <w:pPr>
        <w:pStyle w:val="Heading1"/>
      </w:pPr>
      <w:bookmarkStart w:id="5" w:name="O_632194"/>
      <w:bookmarkEnd w:id="5"/>
      <w:r w:rsidRPr="00173E15">
        <w:t>Unit Sector</w:t>
      </w:r>
    </w:p>
    <w:p w:rsidR="00000000" w:rsidRPr="00173E15" w:rsidP="00B83262">
      <w:pPr>
        <w:pStyle w:val="BodyText"/>
      </w:pPr>
      <w:r w:rsidRPr="00173E15">
        <w:t>Glass and Glazing</w:t>
      </w:r>
    </w:p>
    <w:p w:rsidR="00000000" w:rsidRPr="00173E15" w:rsidP="00173E15">
      <w:pPr>
        <w:pStyle w:val="Heading1"/>
      </w:pPr>
      <w:bookmarkStart w:id="6" w:name="O_632193"/>
      <w:bookmarkEnd w:id="6"/>
      <w:r w:rsidRPr="00173E15">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173E15">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173E15">
            <w:pPr>
              <w:pStyle w:val="BodyText"/>
              <w:rPr>
                <w:lang w:val="en-NZ"/>
              </w:rPr>
            </w:pPr>
            <w:r w:rsidRPr="00173E15">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173E15">
            <w:pPr>
              <w:pStyle w:val="BodyText"/>
              <w:rPr>
                <w:lang w:val="en-NZ"/>
              </w:rPr>
            </w:pPr>
            <w:r w:rsidRPr="00173E15">
              <w:t>Performance criteria</w:t>
            </w:r>
            <w:r w:rsidRPr="00173E15">
              <w:t xml:space="preserve"> describe the performance needed to demonstrate achievement of the element.</w:t>
            </w:r>
          </w:p>
        </w:tc>
      </w:tr>
      <w:tr w:rsidTr="00173E1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73E15">
            <w:pPr>
              <w:pStyle w:val="BodyText"/>
              <w:rPr>
                <w:lang w:val="en-NZ"/>
              </w:rPr>
            </w:pPr>
            <w:r w:rsidRPr="00173E15">
              <w:t>1</w:t>
            </w:r>
          </w:p>
        </w:tc>
        <w:tc>
          <w:tcPr>
            <w:tcW w:w="2219" w:type="dxa"/>
            <w:tcBorders>
              <w:top w:val="nil"/>
              <w:left w:val="nil"/>
              <w:bottom w:val="nil"/>
              <w:right w:val="nil"/>
            </w:tcBorders>
            <w:tcMar>
              <w:top w:w="0" w:type="dxa"/>
              <w:left w:w="62" w:type="dxa"/>
              <w:bottom w:w="0" w:type="dxa"/>
              <w:right w:w="62" w:type="dxa"/>
            </w:tcMar>
          </w:tcPr>
          <w:p w:rsidR="00000000" w:rsidP="00173E15">
            <w:pPr>
              <w:pStyle w:val="BodyText"/>
              <w:rPr>
                <w:lang w:val="en-NZ"/>
              </w:rPr>
            </w:pPr>
            <w:r w:rsidRPr="00173E15">
              <w:t>Identify storage requirements</w:t>
            </w:r>
          </w:p>
        </w:tc>
        <w:tc>
          <w:tcPr>
            <w:tcW w:w="661" w:type="dxa"/>
            <w:tcBorders>
              <w:top w:val="nil"/>
              <w:left w:val="nil"/>
              <w:bottom w:val="nil"/>
              <w:right w:val="nil"/>
            </w:tcBorders>
            <w:tcMar>
              <w:top w:w="0" w:type="dxa"/>
              <w:left w:w="62" w:type="dxa"/>
              <w:bottom w:w="0" w:type="dxa"/>
              <w:right w:w="62" w:type="dxa"/>
            </w:tcMar>
          </w:tcPr>
          <w:p w:rsidR="00000000" w:rsidP="00173E15">
            <w:pPr>
              <w:pStyle w:val="BodyText"/>
              <w:rPr>
                <w:lang w:val="en-NZ"/>
              </w:rPr>
            </w:pPr>
            <w:r w:rsidRPr="00173E15">
              <w:t>1.1</w:t>
            </w:r>
          </w:p>
        </w:tc>
        <w:tc>
          <w:tcPr>
            <w:tcW w:w="5866" w:type="dxa"/>
            <w:tcBorders>
              <w:top w:val="nil"/>
              <w:left w:val="nil"/>
              <w:bottom w:val="nil"/>
              <w:right w:val="nil"/>
            </w:tcBorders>
            <w:tcMar>
              <w:top w:w="0" w:type="dxa"/>
              <w:left w:w="62" w:type="dxa"/>
              <w:bottom w:w="0" w:type="dxa"/>
              <w:right w:w="62" w:type="dxa"/>
            </w:tcMar>
          </w:tcPr>
          <w:p w:rsidR="00000000" w:rsidP="00173E15">
            <w:pPr>
              <w:pStyle w:val="BodyText"/>
              <w:rPr>
                <w:lang w:val="en-NZ"/>
              </w:rPr>
            </w:pPr>
            <w:r w:rsidRPr="00173E15">
              <w:t>Work requirements in the form of type and quantity of glass to be handled and stored are identified from work instructions</w:t>
            </w:r>
          </w:p>
        </w:tc>
      </w:tr>
      <w:tr w:rsidTr="00173E1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73E15">
            <w:pPr>
              <w:pStyle w:val="BodyText"/>
              <w:rPr>
                <w:lang w:val="en-NZ"/>
              </w:rPr>
            </w:pPr>
            <w:r w:rsidRPr="00173E15">
              <w:t>1.2</w:t>
            </w:r>
          </w:p>
        </w:tc>
        <w:tc>
          <w:tcPr>
            <w:tcW w:w="5866" w:type="dxa"/>
            <w:tcBorders>
              <w:top w:val="nil"/>
              <w:left w:val="nil"/>
              <w:bottom w:val="nil"/>
              <w:right w:val="nil"/>
            </w:tcBorders>
            <w:tcMar>
              <w:top w:w="0" w:type="dxa"/>
              <w:left w:w="62" w:type="dxa"/>
              <w:bottom w:w="0" w:type="dxa"/>
              <w:right w:w="62" w:type="dxa"/>
            </w:tcMar>
          </w:tcPr>
          <w:p w:rsidR="00000000" w:rsidP="00173E15">
            <w:pPr>
              <w:pStyle w:val="BodyText"/>
              <w:rPr>
                <w:lang w:val="en-NZ"/>
              </w:rPr>
            </w:pPr>
            <w:r w:rsidRPr="00173E15">
              <w:t>Work health and safety (WHS) requirements for storage and handling of glass, including personal protective equipment, are observed throughout the work</w:t>
            </w:r>
          </w:p>
        </w:tc>
      </w:tr>
      <w:tr w:rsidTr="00173E1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73E15">
            <w:pPr>
              <w:pStyle w:val="BodyText"/>
              <w:rPr>
                <w:lang w:val="en-NZ"/>
              </w:rPr>
            </w:pPr>
            <w:r w:rsidRPr="00173E15">
              <w:t>1.3</w:t>
            </w:r>
          </w:p>
        </w:tc>
        <w:tc>
          <w:tcPr>
            <w:tcW w:w="5866" w:type="dxa"/>
            <w:tcBorders>
              <w:top w:val="nil"/>
              <w:left w:val="nil"/>
              <w:bottom w:val="nil"/>
              <w:right w:val="nil"/>
            </w:tcBorders>
            <w:tcMar>
              <w:top w:w="0" w:type="dxa"/>
              <w:left w:w="62" w:type="dxa"/>
              <w:bottom w:w="0" w:type="dxa"/>
              <w:right w:w="62" w:type="dxa"/>
            </w:tcMar>
          </w:tcPr>
          <w:p w:rsidR="00000000" w:rsidP="00173E15">
            <w:pPr>
              <w:pStyle w:val="BodyText"/>
              <w:rPr>
                <w:lang w:val="en-NZ"/>
              </w:rPr>
            </w:pPr>
            <w:r w:rsidRPr="00173E15">
              <w:t>Glass to be stored is checked against paperwork and any discrepancies reported according to workpl</w:t>
            </w:r>
            <w:r w:rsidRPr="00173E15">
              <w:t>ace procedures</w:t>
            </w:r>
          </w:p>
        </w:tc>
      </w:tr>
      <w:tr w:rsidTr="00173E1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73E15">
            <w:pPr>
              <w:pStyle w:val="BodyText"/>
              <w:rPr>
                <w:lang w:val="en-NZ"/>
              </w:rPr>
            </w:pPr>
            <w:r w:rsidRPr="00173E15">
              <w:t>1.4</w:t>
            </w:r>
          </w:p>
        </w:tc>
        <w:tc>
          <w:tcPr>
            <w:tcW w:w="5866" w:type="dxa"/>
            <w:tcBorders>
              <w:top w:val="nil"/>
              <w:left w:val="nil"/>
              <w:bottom w:val="nil"/>
              <w:right w:val="nil"/>
            </w:tcBorders>
            <w:tcMar>
              <w:top w:w="0" w:type="dxa"/>
              <w:left w:w="62" w:type="dxa"/>
              <w:bottom w:w="0" w:type="dxa"/>
              <w:right w:w="62" w:type="dxa"/>
            </w:tcMar>
          </w:tcPr>
          <w:p w:rsidR="00000000" w:rsidP="00173E15">
            <w:pPr>
              <w:pStyle w:val="BodyText"/>
              <w:rPr>
                <w:lang w:val="en-NZ"/>
              </w:rPr>
            </w:pPr>
            <w:r w:rsidRPr="00173E15">
              <w:t>Storage requirements are identified from manufacturer instructions, statutory regulations and workplace procedures</w:t>
            </w:r>
          </w:p>
        </w:tc>
      </w:tr>
      <w:tr w:rsidTr="00173E1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73E15">
            <w:pPr>
              <w:pStyle w:val="BodyText"/>
              <w:rPr>
                <w:lang w:val="en-NZ"/>
              </w:rPr>
            </w:pPr>
            <w:r w:rsidRPr="00173E15">
              <w:t>1.5</w:t>
            </w:r>
          </w:p>
        </w:tc>
        <w:tc>
          <w:tcPr>
            <w:tcW w:w="5866" w:type="dxa"/>
            <w:tcBorders>
              <w:top w:val="nil"/>
              <w:left w:val="nil"/>
              <w:bottom w:val="nil"/>
              <w:right w:val="nil"/>
            </w:tcBorders>
            <w:tcMar>
              <w:top w:w="0" w:type="dxa"/>
              <w:left w:w="62" w:type="dxa"/>
              <w:bottom w:w="0" w:type="dxa"/>
              <w:right w:w="62" w:type="dxa"/>
            </w:tcMar>
          </w:tcPr>
          <w:p w:rsidR="00000000" w:rsidP="00173E15">
            <w:pPr>
              <w:pStyle w:val="BodyText"/>
              <w:rPr>
                <w:lang w:val="en-NZ"/>
              </w:rPr>
            </w:pPr>
            <w:r w:rsidRPr="00173E15">
              <w:t>Locations for glass storage are identified and checked for availability and suitability</w:t>
            </w:r>
          </w:p>
        </w:tc>
      </w:tr>
      <w:tr w:rsidTr="00173E1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73E15">
            <w:pPr>
              <w:pStyle w:val="BodyText"/>
              <w:rPr>
                <w:lang w:val="en-NZ"/>
              </w:rPr>
            </w:pPr>
            <w:r w:rsidRPr="00173E15">
              <w:t>1.6</w:t>
            </w:r>
          </w:p>
        </w:tc>
        <w:tc>
          <w:tcPr>
            <w:tcW w:w="5866" w:type="dxa"/>
            <w:tcBorders>
              <w:top w:val="nil"/>
              <w:left w:val="nil"/>
              <w:bottom w:val="nil"/>
              <w:right w:val="nil"/>
            </w:tcBorders>
            <w:tcMar>
              <w:top w:w="0" w:type="dxa"/>
              <w:left w:w="62" w:type="dxa"/>
              <w:bottom w:w="0" w:type="dxa"/>
              <w:right w:w="62" w:type="dxa"/>
            </w:tcMar>
          </w:tcPr>
          <w:p w:rsidR="00000000" w:rsidP="00173E15">
            <w:pPr>
              <w:pStyle w:val="BodyText"/>
              <w:rPr>
                <w:lang w:val="en-NZ"/>
              </w:rPr>
            </w:pPr>
            <w:r w:rsidRPr="00173E15">
              <w:t>The process and procedures for moving, handling and storing glass are identified</w:t>
            </w:r>
          </w:p>
        </w:tc>
      </w:tr>
      <w:tr w:rsidTr="00173E1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73E15">
            <w:pPr>
              <w:pStyle w:val="BodyText"/>
              <w:rPr>
                <w:lang w:val="en-NZ"/>
              </w:rPr>
            </w:pPr>
            <w:r w:rsidRPr="00173E15">
              <w:t>1.7</w:t>
            </w:r>
          </w:p>
        </w:tc>
        <w:tc>
          <w:tcPr>
            <w:tcW w:w="5866" w:type="dxa"/>
            <w:tcBorders>
              <w:top w:val="nil"/>
              <w:left w:val="nil"/>
              <w:bottom w:val="nil"/>
              <w:right w:val="nil"/>
            </w:tcBorders>
            <w:tcMar>
              <w:top w:w="0" w:type="dxa"/>
              <w:left w:w="62" w:type="dxa"/>
              <w:bottom w:w="0" w:type="dxa"/>
              <w:right w:w="62" w:type="dxa"/>
            </w:tcMar>
          </w:tcPr>
          <w:p w:rsidR="00000000" w:rsidP="00173E15">
            <w:pPr>
              <w:pStyle w:val="BodyText"/>
              <w:rPr>
                <w:lang w:val="en-NZ"/>
              </w:rPr>
            </w:pPr>
            <w:r w:rsidRPr="00173E15">
              <w:t>Team lifting processes are considered for application, including nomination of a team leader and calculating the capacity of the team</w:t>
            </w:r>
          </w:p>
        </w:tc>
      </w:tr>
      <w:tr w:rsidTr="00173E1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73E15">
            <w:pPr>
              <w:pStyle w:val="BodyText"/>
              <w:rPr>
                <w:lang w:val="en-NZ"/>
              </w:rPr>
            </w:pPr>
            <w:r w:rsidRPr="00173E15">
              <w:t>2</w:t>
            </w:r>
          </w:p>
        </w:tc>
        <w:tc>
          <w:tcPr>
            <w:tcW w:w="2219" w:type="dxa"/>
            <w:tcBorders>
              <w:top w:val="nil"/>
              <w:left w:val="nil"/>
              <w:bottom w:val="nil"/>
              <w:right w:val="nil"/>
            </w:tcBorders>
            <w:tcMar>
              <w:top w:w="0" w:type="dxa"/>
              <w:left w:w="62" w:type="dxa"/>
              <w:bottom w:w="0" w:type="dxa"/>
              <w:right w:w="62" w:type="dxa"/>
            </w:tcMar>
          </w:tcPr>
          <w:p w:rsidR="00000000" w:rsidP="00173E15">
            <w:pPr>
              <w:pStyle w:val="BodyText"/>
              <w:rPr>
                <w:lang w:val="en-NZ"/>
              </w:rPr>
            </w:pPr>
            <w:r w:rsidRPr="00173E15">
              <w:t>Prepare for glass movement</w:t>
            </w:r>
          </w:p>
        </w:tc>
        <w:tc>
          <w:tcPr>
            <w:tcW w:w="661" w:type="dxa"/>
            <w:tcBorders>
              <w:top w:val="nil"/>
              <w:left w:val="nil"/>
              <w:bottom w:val="nil"/>
              <w:right w:val="nil"/>
            </w:tcBorders>
            <w:tcMar>
              <w:top w:w="0" w:type="dxa"/>
              <w:left w:w="62" w:type="dxa"/>
              <w:bottom w:w="0" w:type="dxa"/>
              <w:right w:w="62" w:type="dxa"/>
            </w:tcMar>
          </w:tcPr>
          <w:p w:rsidR="00000000" w:rsidP="00173E15">
            <w:pPr>
              <w:pStyle w:val="BodyText"/>
              <w:rPr>
                <w:lang w:val="en-NZ"/>
              </w:rPr>
            </w:pPr>
            <w:r w:rsidRPr="00173E15">
              <w:t>2.1</w:t>
            </w:r>
          </w:p>
        </w:tc>
        <w:tc>
          <w:tcPr>
            <w:tcW w:w="5866" w:type="dxa"/>
            <w:tcBorders>
              <w:top w:val="nil"/>
              <w:left w:val="nil"/>
              <w:bottom w:val="nil"/>
              <w:right w:val="nil"/>
            </w:tcBorders>
            <w:tcMar>
              <w:top w:w="0" w:type="dxa"/>
              <w:left w:w="62" w:type="dxa"/>
              <w:bottom w:w="0" w:type="dxa"/>
              <w:right w:w="62" w:type="dxa"/>
            </w:tcMar>
          </w:tcPr>
          <w:p w:rsidR="00000000" w:rsidP="00173E15">
            <w:pPr>
              <w:pStyle w:val="BodyText"/>
              <w:rPr>
                <w:lang w:val="en-NZ"/>
              </w:rPr>
            </w:pPr>
            <w:r w:rsidRPr="00173E15">
              <w:t>Work sequence is planned in a logical order to suit the job in accordance with workplace procedures</w:t>
            </w:r>
          </w:p>
        </w:tc>
      </w:tr>
      <w:tr w:rsidTr="00173E1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73E15">
            <w:pPr>
              <w:pStyle w:val="BodyText"/>
              <w:rPr>
                <w:lang w:val="en-NZ"/>
              </w:rPr>
            </w:pPr>
            <w:r w:rsidRPr="00173E15">
              <w:t>2.2</w:t>
            </w:r>
          </w:p>
        </w:tc>
        <w:tc>
          <w:tcPr>
            <w:tcW w:w="5866" w:type="dxa"/>
            <w:tcBorders>
              <w:top w:val="nil"/>
              <w:left w:val="nil"/>
              <w:bottom w:val="nil"/>
              <w:right w:val="nil"/>
            </w:tcBorders>
            <w:tcMar>
              <w:top w:w="0" w:type="dxa"/>
              <w:left w:w="62" w:type="dxa"/>
              <w:bottom w:w="0" w:type="dxa"/>
              <w:right w:w="62" w:type="dxa"/>
            </w:tcMar>
          </w:tcPr>
          <w:p w:rsidR="00000000" w:rsidP="00173E15">
            <w:pPr>
              <w:pStyle w:val="BodyText"/>
              <w:rPr>
                <w:lang w:val="en-NZ"/>
              </w:rPr>
            </w:pPr>
            <w:r w:rsidRPr="00173E15">
              <w:t>Tools, equipment and materials are selected and checked prior to use to ensure they are appropriate for the work, serviceable and in a safe condition</w:t>
            </w:r>
          </w:p>
        </w:tc>
      </w:tr>
      <w:tr w:rsidTr="00173E1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73E15">
            <w:pPr>
              <w:pStyle w:val="BodyText"/>
              <w:rPr>
                <w:lang w:val="en-NZ"/>
              </w:rPr>
            </w:pPr>
            <w:r w:rsidRPr="00173E15">
              <w:t>2.3</w:t>
            </w:r>
          </w:p>
        </w:tc>
        <w:tc>
          <w:tcPr>
            <w:tcW w:w="5866" w:type="dxa"/>
            <w:tcBorders>
              <w:top w:val="nil"/>
              <w:left w:val="nil"/>
              <w:bottom w:val="nil"/>
              <w:right w:val="nil"/>
            </w:tcBorders>
            <w:tcMar>
              <w:top w:w="0" w:type="dxa"/>
              <w:left w:w="62" w:type="dxa"/>
              <w:bottom w:w="0" w:type="dxa"/>
              <w:right w:w="62" w:type="dxa"/>
            </w:tcMar>
          </w:tcPr>
          <w:p w:rsidR="00000000" w:rsidP="00173E15">
            <w:pPr>
              <w:pStyle w:val="BodyText"/>
              <w:rPr>
                <w:lang w:val="en-NZ"/>
              </w:rPr>
            </w:pPr>
            <w:r w:rsidRPr="00173E15">
              <w:t>Planned route for relocating glass is determined and checked for hazards, and the work area is cleared of obstructions</w:t>
            </w:r>
          </w:p>
        </w:tc>
      </w:tr>
      <w:tr w:rsidTr="00173E1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73E15">
            <w:pPr>
              <w:pStyle w:val="BodyText"/>
              <w:rPr>
                <w:lang w:val="en-NZ"/>
              </w:rPr>
            </w:pPr>
            <w:r w:rsidRPr="00173E15">
              <w:t>2.4</w:t>
            </w:r>
          </w:p>
        </w:tc>
        <w:tc>
          <w:tcPr>
            <w:tcW w:w="5866" w:type="dxa"/>
            <w:tcBorders>
              <w:top w:val="nil"/>
              <w:left w:val="nil"/>
              <w:bottom w:val="nil"/>
              <w:right w:val="nil"/>
            </w:tcBorders>
            <w:tcMar>
              <w:top w:w="0" w:type="dxa"/>
              <w:left w:w="62" w:type="dxa"/>
              <w:bottom w:w="0" w:type="dxa"/>
              <w:right w:w="62" w:type="dxa"/>
            </w:tcMar>
          </w:tcPr>
          <w:p w:rsidR="00000000" w:rsidP="00173E15">
            <w:pPr>
              <w:pStyle w:val="BodyText"/>
              <w:rPr>
                <w:lang w:val="en-NZ"/>
              </w:rPr>
            </w:pPr>
            <w:r w:rsidRPr="00173E15">
              <w:t>Risks to self and others are identified and acted upon according to statutory requirements and workplace procedures</w:t>
            </w:r>
          </w:p>
        </w:tc>
      </w:tr>
      <w:tr w:rsidTr="00173E1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73E15">
            <w:pPr>
              <w:pStyle w:val="BodyText"/>
              <w:rPr>
                <w:lang w:val="en-NZ"/>
              </w:rPr>
            </w:pPr>
            <w:r w:rsidRPr="00173E15">
              <w:t>2.5</w:t>
            </w:r>
          </w:p>
        </w:tc>
        <w:tc>
          <w:tcPr>
            <w:tcW w:w="5866" w:type="dxa"/>
            <w:tcBorders>
              <w:top w:val="nil"/>
              <w:left w:val="nil"/>
              <w:bottom w:val="nil"/>
              <w:right w:val="nil"/>
            </w:tcBorders>
            <w:tcMar>
              <w:top w:w="0" w:type="dxa"/>
              <w:left w:w="62" w:type="dxa"/>
              <w:bottom w:w="0" w:type="dxa"/>
              <w:right w:w="62" w:type="dxa"/>
            </w:tcMar>
          </w:tcPr>
          <w:p w:rsidR="00000000" w:rsidP="00173E15">
            <w:pPr>
              <w:pStyle w:val="BodyText"/>
              <w:rPr>
                <w:lang w:val="en-NZ"/>
              </w:rPr>
            </w:pPr>
            <w:r w:rsidRPr="00173E15">
              <w:t>Required clearances are compared to available space and adjustments made</w:t>
            </w:r>
          </w:p>
        </w:tc>
      </w:tr>
      <w:tr w:rsidTr="00173E1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73E15">
            <w:pPr>
              <w:pStyle w:val="BodyText"/>
              <w:rPr>
                <w:lang w:val="en-NZ"/>
              </w:rPr>
            </w:pPr>
            <w:r w:rsidRPr="00173E15">
              <w:t>2.6</w:t>
            </w:r>
          </w:p>
        </w:tc>
        <w:tc>
          <w:tcPr>
            <w:tcW w:w="5866" w:type="dxa"/>
            <w:tcBorders>
              <w:top w:val="nil"/>
              <w:left w:val="nil"/>
              <w:bottom w:val="nil"/>
              <w:right w:val="nil"/>
            </w:tcBorders>
            <w:tcMar>
              <w:top w:w="0" w:type="dxa"/>
              <w:left w:w="62" w:type="dxa"/>
              <w:bottom w:w="0" w:type="dxa"/>
              <w:right w:w="62" w:type="dxa"/>
            </w:tcMar>
          </w:tcPr>
          <w:p w:rsidR="00000000" w:rsidP="00173E15">
            <w:pPr>
              <w:pStyle w:val="BodyText"/>
              <w:rPr>
                <w:lang w:val="en-NZ"/>
              </w:rPr>
            </w:pPr>
            <w:r w:rsidRPr="00173E15">
              <w:t>Process for relocating glass is planned, including predicting and planning for potential difficulties</w:t>
            </w:r>
          </w:p>
        </w:tc>
      </w:tr>
      <w:tr w:rsidTr="00173E1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73E15">
            <w:pPr>
              <w:pStyle w:val="BodyText"/>
              <w:rPr>
                <w:lang w:val="en-NZ"/>
              </w:rPr>
            </w:pPr>
            <w:r w:rsidRPr="00173E15">
              <w:t>2.7</w:t>
            </w:r>
          </w:p>
        </w:tc>
        <w:tc>
          <w:tcPr>
            <w:tcW w:w="5866" w:type="dxa"/>
            <w:tcBorders>
              <w:top w:val="nil"/>
              <w:left w:val="nil"/>
              <w:bottom w:val="nil"/>
              <w:right w:val="nil"/>
            </w:tcBorders>
            <w:tcMar>
              <w:top w:w="0" w:type="dxa"/>
              <w:left w:w="62" w:type="dxa"/>
              <w:bottom w:w="0" w:type="dxa"/>
              <w:right w:w="62" w:type="dxa"/>
            </w:tcMar>
          </w:tcPr>
          <w:p w:rsidR="00000000" w:rsidP="00173E15">
            <w:pPr>
              <w:pStyle w:val="BodyText"/>
              <w:rPr>
                <w:lang w:val="en-NZ"/>
              </w:rPr>
            </w:pPr>
            <w:r w:rsidRPr="00173E15">
              <w:t>Proposed process is checked against codes of practice and workplace procedures for compliance</w:t>
            </w:r>
          </w:p>
        </w:tc>
      </w:tr>
      <w:tr w:rsidTr="00173E1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73E15">
            <w:pPr>
              <w:pStyle w:val="BodyText"/>
              <w:rPr>
                <w:lang w:val="en-NZ"/>
              </w:rPr>
            </w:pPr>
            <w:r w:rsidRPr="00173E15">
              <w:t>3</w:t>
            </w:r>
          </w:p>
        </w:tc>
        <w:tc>
          <w:tcPr>
            <w:tcW w:w="2219" w:type="dxa"/>
            <w:tcBorders>
              <w:top w:val="nil"/>
              <w:left w:val="nil"/>
              <w:bottom w:val="nil"/>
              <w:right w:val="nil"/>
            </w:tcBorders>
            <w:tcMar>
              <w:top w:w="0" w:type="dxa"/>
              <w:left w:w="62" w:type="dxa"/>
              <w:bottom w:w="0" w:type="dxa"/>
              <w:right w:w="62" w:type="dxa"/>
            </w:tcMar>
          </w:tcPr>
          <w:p w:rsidR="00000000" w:rsidP="00173E15">
            <w:pPr>
              <w:pStyle w:val="BodyText"/>
              <w:rPr>
                <w:lang w:val="en-NZ"/>
              </w:rPr>
            </w:pPr>
            <w:r w:rsidRPr="00173E15">
              <w:t>Relocate glass</w:t>
            </w:r>
          </w:p>
        </w:tc>
        <w:tc>
          <w:tcPr>
            <w:tcW w:w="661" w:type="dxa"/>
            <w:tcBorders>
              <w:top w:val="nil"/>
              <w:left w:val="nil"/>
              <w:bottom w:val="nil"/>
              <w:right w:val="nil"/>
            </w:tcBorders>
            <w:tcMar>
              <w:top w:w="0" w:type="dxa"/>
              <w:left w:w="62" w:type="dxa"/>
              <w:bottom w:w="0" w:type="dxa"/>
              <w:right w:w="62" w:type="dxa"/>
            </w:tcMar>
          </w:tcPr>
          <w:p w:rsidR="00000000" w:rsidP="00173E15">
            <w:pPr>
              <w:pStyle w:val="BodyText"/>
              <w:rPr>
                <w:lang w:val="en-NZ"/>
              </w:rPr>
            </w:pPr>
            <w:r w:rsidRPr="00173E15">
              <w:t>3.1</w:t>
            </w:r>
          </w:p>
        </w:tc>
        <w:tc>
          <w:tcPr>
            <w:tcW w:w="5866" w:type="dxa"/>
            <w:tcBorders>
              <w:top w:val="nil"/>
              <w:left w:val="nil"/>
              <w:bottom w:val="nil"/>
              <w:right w:val="nil"/>
            </w:tcBorders>
            <w:tcMar>
              <w:top w:w="0" w:type="dxa"/>
              <w:left w:w="62" w:type="dxa"/>
              <w:bottom w:w="0" w:type="dxa"/>
              <w:right w:w="62" w:type="dxa"/>
            </w:tcMar>
          </w:tcPr>
          <w:p w:rsidR="00000000" w:rsidP="00173E15">
            <w:pPr>
              <w:pStyle w:val="BodyText"/>
              <w:rPr>
                <w:lang w:val="en-NZ"/>
              </w:rPr>
            </w:pPr>
            <w:r w:rsidRPr="00173E15">
              <w:t>Safety checks are carried out on required handling equipment, and any damaged or worn parts reported according to workplace practices</w:t>
            </w:r>
          </w:p>
        </w:tc>
      </w:tr>
      <w:tr w:rsidTr="00173E1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73E15">
            <w:pPr>
              <w:pStyle w:val="BodyText"/>
              <w:rPr>
                <w:lang w:val="en-NZ"/>
              </w:rPr>
            </w:pPr>
            <w:r w:rsidRPr="00173E15">
              <w:t>3.2</w:t>
            </w:r>
          </w:p>
        </w:tc>
        <w:tc>
          <w:tcPr>
            <w:tcW w:w="5866" w:type="dxa"/>
            <w:tcBorders>
              <w:top w:val="nil"/>
              <w:left w:val="nil"/>
              <w:bottom w:val="nil"/>
              <w:right w:val="nil"/>
            </w:tcBorders>
            <w:tcMar>
              <w:top w:w="0" w:type="dxa"/>
              <w:left w:w="62" w:type="dxa"/>
              <w:bottom w:w="0" w:type="dxa"/>
              <w:right w:w="62" w:type="dxa"/>
            </w:tcMar>
          </w:tcPr>
          <w:p w:rsidR="00000000" w:rsidP="00173E15">
            <w:pPr>
              <w:pStyle w:val="BodyText"/>
              <w:rPr>
                <w:lang w:val="en-NZ"/>
              </w:rPr>
            </w:pPr>
            <w:r w:rsidRPr="00173E15">
              <w:t>Handling equipment is operated safely and correctly in accordance with manufacturer instructions and workplace procedures</w:t>
            </w:r>
          </w:p>
        </w:tc>
      </w:tr>
      <w:tr w:rsidTr="00173E1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73E15">
            <w:pPr>
              <w:pStyle w:val="BodyText"/>
              <w:rPr>
                <w:lang w:val="en-NZ"/>
              </w:rPr>
            </w:pPr>
            <w:r w:rsidRPr="00173E15">
              <w:t>3.3</w:t>
            </w:r>
          </w:p>
        </w:tc>
        <w:tc>
          <w:tcPr>
            <w:tcW w:w="5866" w:type="dxa"/>
            <w:tcBorders>
              <w:top w:val="nil"/>
              <w:left w:val="nil"/>
              <w:bottom w:val="nil"/>
              <w:right w:val="nil"/>
            </w:tcBorders>
            <w:tcMar>
              <w:top w:w="0" w:type="dxa"/>
              <w:left w:w="62" w:type="dxa"/>
              <w:bottom w:w="0" w:type="dxa"/>
              <w:right w:w="62" w:type="dxa"/>
            </w:tcMar>
          </w:tcPr>
          <w:p w:rsidR="00000000" w:rsidP="00173E15">
            <w:pPr>
              <w:pStyle w:val="BodyText"/>
              <w:rPr>
                <w:lang w:val="en-NZ"/>
              </w:rPr>
            </w:pPr>
            <w:r w:rsidRPr="00173E15">
              <w:t>Planned process and route are followed and glass relocated without damage to material, personnel or equipment</w:t>
            </w:r>
          </w:p>
        </w:tc>
      </w:tr>
      <w:tr w:rsidTr="00173E1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73E15">
            <w:pPr>
              <w:pStyle w:val="BodyText"/>
              <w:rPr>
                <w:lang w:val="en-NZ"/>
              </w:rPr>
            </w:pPr>
            <w:r w:rsidRPr="00173E15">
              <w:t>3.4</w:t>
            </w:r>
          </w:p>
        </w:tc>
        <w:tc>
          <w:tcPr>
            <w:tcW w:w="5866" w:type="dxa"/>
            <w:tcBorders>
              <w:top w:val="nil"/>
              <w:left w:val="nil"/>
              <w:bottom w:val="nil"/>
              <w:right w:val="nil"/>
            </w:tcBorders>
            <w:tcMar>
              <w:top w:w="0" w:type="dxa"/>
              <w:left w:w="62" w:type="dxa"/>
              <w:bottom w:w="0" w:type="dxa"/>
              <w:right w:w="62" w:type="dxa"/>
            </w:tcMar>
          </w:tcPr>
          <w:p w:rsidR="00000000" w:rsidP="00173E15">
            <w:pPr>
              <w:pStyle w:val="BodyText"/>
              <w:rPr>
                <w:lang w:val="en-NZ"/>
              </w:rPr>
            </w:pPr>
            <w:r w:rsidRPr="00173E15">
              <w:t>Glass is labelled and stored following workplace procedures ensuring there are no projections</w:t>
            </w:r>
          </w:p>
        </w:tc>
      </w:tr>
      <w:tr w:rsidTr="00173E1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73E15">
            <w:pPr>
              <w:pStyle w:val="BodyText"/>
              <w:rPr>
                <w:lang w:val="en-NZ"/>
              </w:rPr>
            </w:pPr>
            <w:r w:rsidRPr="00173E15">
              <w:t>3.5</w:t>
            </w:r>
          </w:p>
        </w:tc>
        <w:tc>
          <w:tcPr>
            <w:tcW w:w="5866" w:type="dxa"/>
            <w:tcBorders>
              <w:top w:val="nil"/>
              <w:left w:val="nil"/>
              <w:bottom w:val="nil"/>
              <w:right w:val="nil"/>
            </w:tcBorders>
            <w:tcMar>
              <w:top w:w="0" w:type="dxa"/>
              <w:left w:w="62" w:type="dxa"/>
              <w:bottom w:w="0" w:type="dxa"/>
              <w:right w:w="62" w:type="dxa"/>
            </w:tcMar>
          </w:tcPr>
          <w:p w:rsidR="00000000" w:rsidP="00173E15">
            <w:pPr>
              <w:pStyle w:val="BodyText"/>
              <w:rPr>
                <w:lang w:val="en-NZ"/>
              </w:rPr>
            </w:pPr>
            <w:r w:rsidRPr="00173E15">
              <w:t>Relocation is checked to see that it meets work requirements, and any differences are reported</w:t>
            </w:r>
          </w:p>
        </w:tc>
      </w:tr>
      <w:tr w:rsidTr="00173E1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173E15">
            <w:pPr>
              <w:pStyle w:val="BodyText"/>
              <w:rPr>
                <w:lang w:val="en-NZ"/>
              </w:rPr>
            </w:pPr>
            <w:r w:rsidRPr="00173E15">
              <w:t>4</w:t>
            </w:r>
          </w:p>
        </w:tc>
        <w:tc>
          <w:tcPr>
            <w:tcW w:w="2219" w:type="dxa"/>
            <w:tcBorders>
              <w:top w:val="nil"/>
              <w:left w:val="nil"/>
              <w:bottom w:val="nil"/>
              <w:right w:val="nil"/>
            </w:tcBorders>
            <w:tcMar>
              <w:top w:w="0" w:type="dxa"/>
              <w:left w:w="62" w:type="dxa"/>
              <w:bottom w:w="0" w:type="dxa"/>
              <w:right w:w="62" w:type="dxa"/>
            </w:tcMar>
          </w:tcPr>
          <w:p w:rsidR="00000000" w:rsidP="00173E15">
            <w:pPr>
              <w:pStyle w:val="BodyText"/>
              <w:rPr>
                <w:lang w:val="en-NZ"/>
              </w:rPr>
            </w:pPr>
            <w:r w:rsidRPr="00173E15">
              <w:t xml:space="preserve">Complete job </w:t>
            </w:r>
            <w:r w:rsidRPr="00173E15">
              <w:t>requirements</w:t>
            </w:r>
          </w:p>
        </w:tc>
        <w:tc>
          <w:tcPr>
            <w:tcW w:w="661" w:type="dxa"/>
            <w:tcBorders>
              <w:top w:val="nil"/>
              <w:left w:val="nil"/>
              <w:bottom w:val="nil"/>
              <w:right w:val="nil"/>
            </w:tcBorders>
            <w:tcMar>
              <w:top w:w="0" w:type="dxa"/>
              <w:left w:w="62" w:type="dxa"/>
              <w:bottom w:w="0" w:type="dxa"/>
              <w:right w:w="62" w:type="dxa"/>
            </w:tcMar>
          </w:tcPr>
          <w:p w:rsidR="00000000" w:rsidP="00173E15">
            <w:pPr>
              <w:pStyle w:val="BodyText"/>
              <w:rPr>
                <w:lang w:val="en-NZ"/>
              </w:rPr>
            </w:pPr>
            <w:r w:rsidRPr="00173E15">
              <w:t>4.1</w:t>
            </w:r>
          </w:p>
        </w:tc>
        <w:tc>
          <w:tcPr>
            <w:tcW w:w="5866" w:type="dxa"/>
            <w:tcBorders>
              <w:top w:val="nil"/>
              <w:left w:val="nil"/>
              <w:bottom w:val="nil"/>
              <w:right w:val="nil"/>
            </w:tcBorders>
            <w:tcMar>
              <w:top w:w="0" w:type="dxa"/>
              <w:left w:w="62" w:type="dxa"/>
              <w:bottom w:w="0" w:type="dxa"/>
              <w:right w:w="62" w:type="dxa"/>
            </w:tcMar>
          </w:tcPr>
          <w:p w:rsidR="00000000" w:rsidP="00173E15">
            <w:pPr>
              <w:pStyle w:val="BodyText"/>
              <w:rPr>
                <w:lang w:val="en-NZ"/>
              </w:rPr>
            </w:pPr>
            <w:r w:rsidRPr="00173E15">
              <w:t>Handling equipment is clean</w:t>
            </w:r>
            <w:r w:rsidRPr="00173E15">
              <w:t xml:space="preserve">ed, maintained and stored </w:t>
            </w:r>
            <w:r w:rsidRPr="00173E15">
              <w:t>according to workplace procedures</w:t>
            </w:r>
          </w:p>
        </w:tc>
      </w:tr>
      <w:tr w:rsidTr="00173E1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73E15">
            <w:pPr>
              <w:pStyle w:val="BodyText"/>
              <w:rPr>
                <w:lang w:val="en-NZ"/>
              </w:rPr>
            </w:pPr>
            <w:r w:rsidRPr="00173E15">
              <w:t>4.2</w:t>
            </w:r>
          </w:p>
        </w:tc>
        <w:tc>
          <w:tcPr>
            <w:tcW w:w="5866" w:type="dxa"/>
            <w:tcBorders>
              <w:top w:val="nil"/>
              <w:left w:val="nil"/>
              <w:bottom w:val="nil"/>
              <w:right w:val="nil"/>
            </w:tcBorders>
            <w:tcMar>
              <w:top w:w="0" w:type="dxa"/>
              <w:left w:w="62" w:type="dxa"/>
              <w:bottom w:w="0" w:type="dxa"/>
              <w:right w:w="62" w:type="dxa"/>
            </w:tcMar>
          </w:tcPr>
          <w:p w:rsidR="00000000" w:rsidP="00173E15">
            <w:pPr>
              <w:pStyle w:val="BodyText"/>
              <w:rPr>
                <w:lang w:val="en-NZ"/>
              </w:rPr>
            </w:pPr>
            <w:r w:rsidRPr="00173E15">
              <w:t>Work area is cleaned and rubbish disposed of, as appropriate</w:t>
            </w:r>
          </w:p>
        </w:tc>
      </w:tr>
      <w:tr w:rsidTr="00173E1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173E15">
            <w:pPr>
              <w:pStyle w:val="BodyText"/>
              <w:rPr>
                <w:lang w:val="en-NZ"/>
              </w:rPr>
            </w:pPr>
            <w:r w:rsidRPr="00173E15">
              <w:t>4.3</w:t>
            </w:r>
          </w:p>
        </w:tc>
        <w:tc>
          <w:tcPr>
            <w:tcW w:w="5866" w:type="dxa"/>
            <w:tcBorders>
              <w:top w:val="nil"/>
              <w:left w:val="nil"/>
              <w:bottom w:val="nil"/>
              <w:right w:val="nil"/>
            </w:tcBorders>
            <w:tcMar>
              <w:top w:w="0" w:type="dxa"/>
              <w:left w:w="62" w:type="dxa"/>
              <w:bottom w:w="0" w:type="dxa"/>
              <w:right w:w="62" w:type="dxa"/>
            </w:tcMar>
          </w:tcPr>
          <w:p w:rsidR="00000000" w:rsidRPr="00173E15" w:rsidP="00173E15">
            <w:pPr>
              <w:pStyle w:val="BodyText"/>
            </w:pPr>
            <w:r w:rsidRPr="00173E15">
              <w:t>Workplace documentation is completed, as required, according to workplace procedures</w:t>
            </w:r>
          </w:p>
        </w:tc>
      </w:tr>
    </w:tbl>
    <w:p w:rsidR="00000000" w:rsidRPr="00173E15" w:rsidP="00173E15">
      <w:pPr>
        <w:pStyle w:val="BodyText"/>
      </w:pPr>
    </w:p>
    <w:p w:rsidR="00000000" w:rsidRPr="00173E15" w:rsidP="00173E15">
      <w:pPr>
        <w:pStyle w:val="AllowPageBreak"/>
      </w:pPr>
    </w:p>
    <w:p w:rsidR="00000000" w:rsidRPr="00173E15" w:rsidP="00173E15">
      <w:pPr>
        <w:pStyle w:val="Heading1"/>
      </w:pPr>
      <w:bookmarkStart w:id="7" w:name="O_632192"/>
      <w:bookmarkEnd w:id="7"/>
      <w:r w:rsidRPr="00173E15">
        <w:t>Foundation Skills</w:t>
      </w:r>
    </w:p>
    <w:p w:rsidR="00000000" w:rsidRPr="00173E15" w:rsidP="00B83262">
      <w:pPr>
        <w:pStyle w:val="BodyText"/>
      </w:pPr>
      <w:r w:rsidRPr="00173E15">
        <w:t xml:space="preserve">Foundation skills essential to performance are explicit in the performance criteria of this unit of competency. Detail on appropriate performance levels for each furnishing unit of competency in reading, writing, oral communication and numeracy utilising </w:t>
      </w:r>
      <w:r w:rsidRPr="00173E15">
        <w:t>the Australian Core Skills Framework (ACSF) are provided in the Furnishing Training Package Implementation Guide.</w:t>
      </w:r>
    </w:p>
    <w:p w:rsidR="00000000" w:rsidRPr="00173E15" w:rsidP="00173E15">
      <w:pPr>
        <w:pStyle w:val="Heading1"/>
      </w:pPr>
      <w:bookmarkStart w:id="8" w:name="O_632191"/>
      <w:bookmarkEnd w:id="8"/>
      <w:r w:rsidRPr="00173E15">
        <w:t>Range of Conditions</w:t>
      </w:r>
    </w:p>
    <w:tbl>
      <w:tblPr>
        <w:tblW w:w="0" w:type="auto"/>
        <w:tblLayout w:type="fixed"/>
        <w:tblCellMar>
          <w:left w:w="62" w:type="dxa"/>
          <w:right w:w="62" w:type="dxa"/>
        </w:tblCellMar>
        <w:tblLook w:val="0000"/>
      </w:tblPr>
      <w:tblGrid>
        <w:gridCol w:w="2760"/>
        <w:gridCol w:w="6312"/>
      </w:tblGrid>
      <w:tr w:rsidTr="00173E1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173E15">
            <w:pPr>
              <w:pStyle w:val="BodyText"/>
              <w:rPr>
                <w:lang w:val="en-NZ"/>
              </w:rPr>
            </w:pPr>
            <w:r w:rsidRPr="00173E15">
              <w:t>Specifies different work environments and conditions that may affect performance. Essential operating con</w:t>
            </w:r>
            <w:r w:rsidRPr="00173E15">
              <w:t>ditions that may be present (depending on the work situation, needs of the candidate, accessibility of the item, and local industry and regional contexts) are included. Range is restricted to essential operating conditions and any other variables essential</w:t>
            </w:r>
            <w:r w:rsidRPr="00173E15">
              <w:t xml:space="preserve"> to the work environment.</w:t>
            </w:r>
          </w:p>
        </w:tc>
      </w:tr>
      <w:tr w:rsidTr="00173E1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73E15">
            <w:pPr>
              <w:pStyle w:val="BodyText"/>
              <w:rPr>
                <w:lang w:val="en-NZ"/>
              </w:rPr>
            </w:pPr>
            <w:r w:rsidRPr="00173E15">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173E15" w:rsidP="00173E15">
            <w:pPr>
              <w:pStyle w:val="ListBullet"/>
            </w:pPr>
            <w:r w:rsidRPr="00173E15">
              <w:t xml:space="preserve">WHS requirements, including legislation, building codes, material safety management systems, hazardous and dangerous goods codes, and local safe operating procedures or equivalent </w:t>
            </w:r>
          </w:p>
          <w:p w:rsidR="00000000" w:rsidRPr="00173E15" w:rsidP="00173E15">
            <w:pPr>
              <w:pStyle w:val="ListBullet"/>
            </w:pPr>
            <w:r w:rsidRPr="00173E15">
              <w:t>work is carried out in accordance with legislative obligations, environmental legislation, relevant health regulations, manual handling procedures and organisation insurance requirements</w:t>
            </w:r>
          </w:p>
          <w:p w:rsidR="00000000" w:rsidP="00173E15">
            <w:pPr>
              <w:pStyle w:val="ListBullet"/>
              <w:rPr>
                <w:lang w:val="en-NZ"/>
              </w:rPr>
            </w:pPr>
            <w:r w:rsidRPr="00173E15">
              <w:t>work requires individuals to demonstrate some discretion, judgement a</w:t>
            </w:r>
            <w:r w:rsidRPr="00173E15">
              <w:t xml:space="preserve">nd problem solving </w:t>
            </w:r>
          </w:p>
        </w:tc>
      </w:tr>
      <w:tr w:rsidTr="00173E1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73E15">
            <w:pPr>
              <w:pStyle w:val="BodyText"/>
              <w:rPr>
                <w:lang w:val="en-NZ"/>
              </w:rPr>
            </w:pPr>
            <w:r w:rsidRPr="00173E15">
              <w:rPr>
                <w:rStyle w:val="SpecialBold"/>
              </w:rPr>
              <w:t>Glass includes:</w:t>
            </w:r>
          </w:p>
        </w:tc>
        <w:tc>
          <w:tcPr>
            <w:tcW w:w="6312" w:type="dxa"/>
            <w:tcBorders>
              <w:top w:val="nil"/>
              <w:left w:val="nil"/>
              <w:bottom w:val="nil"/>
              <w:right w:val="nil"/>
            </w:tcBorders>
            <w:tcMar>
              <w:top w:w="0" w:type="dxa"/>
              <w:left w:w="62" w:type="dxa"/>
              <w:bottom w:w="0" w:type="dxa"/>
              <w:right w:w="62" w:type="dxa"/>
            </w:tcMar>
          </w:tcPr>
          <w:p w:rsidR="00000000" w:rsidRPr="00173E15" w:rsidP="00173E15">
            <w:pPr>
              <w:pStyle w:val="ListBullet"/>
            </w:pPr>
            <w:r w:rsidRPr="00173E15">
              <w:t xml:space="preserve">annealed </w:t>
            </w:r>
          </w:p>
          <w:p w:rsidR="00000000" w:rsidRPr="00173E15" w:rsidP="00173E15">
            <w:pPr>
              <w:pStyle w:val="ListBullet"/>
            </w:pPr>
            <w:r w:rsidRPr="00173E15">
              <w:t>laminated</w:t>
            </w:r>
          </w:p>
          <w:p w:rsidR="00000000" w:rsidRPr="00173E15" w:rsidP="00173E15">
            <w:pPr>
              <w:pStyle w:val="ListBullet"/>
            </w:pPr>
            <w:r w:rsidRPr="00173E15">
              <w:t>toughened</w:t>
            </w:r>
          </w:p>
          <w:p w:rsidR="00000000" w:rsidRPr="00173E15" w:rsidP="00173E15">
            <w:pPr>
              <w:pStyle w:val="ListBullet"/>
            </w:pPr>
            <w:r w:rsidRPr="00173E15">
              <w:t xml:space="preserve">patterned </w:t>
            </w:r>
          </w:p>
          <w:p w:rsidR="00000000" w:rsidRPr="00173E15" w:rsidP="00173E15">
            <w:pPr>
              <w:pStyle w:val="ListBullet"/>
            </w:pPr>
            <w:r w:rsidRPr="00173E15">
              <w:t xml:space="preserve">tinted </w:t>
            </w:r>
          </w:p>
          <w:p w:rsidR="00000000" w:rsidRPr="00173E15" w:rsidP="00173E15">
            <w:pPr>
              <w:pStyle w:val="ListBullet"/>
            </w:pPr>
            <w:r w:rsidRPr="00173E15">
              <w:t xml:space="preserve">heat reflecting </w:t>
            </w:r>
          </w:p>
          <w:p w:rsidR="00000000" w:rsidRPr="00173E15" w:rsidP="00173E15">
            <w:pPr>
              <w:pStyle w:val="ListBullet"/>
            </w:pPr>
            <w:r w:rsidRPr="00173E15">
              <w:t>domestic and commercial glass</w:t>
            </w:r>
          </w:p>
          <w:p w:rsidR="00000000" w:rsidRPr="00173E15" w:rsidP="00173E15">
            <w:pPr>
              <w:pStyle w:val="ListBullet"/>
            </w:pPr>
            <w:r w:rsidRPr="00173E15">
              <w:t>mirrors</w:t>
            </w:r>
          </w:p>
          <w:p w:rsidR="00000000" w:rsidRPr="00173E15" w:rsidP="00173E15">
            <w:pPr>
              <w:pStyle w:val="ListBullet"/>
            </w:pPr>
            <w:r w:rsidRPr="00173E15">
              <w:t>shower screens</w:t>
            </w:r>
          </w:p>
          <w:p w:rsidR="00000000" w:rsidRPr="00173E15" w:rsidP="00173E15">
            <w:pPr>
              <w:pStyle w:val="ListBullet"/>
            </w:pPr>
            <w:r w:rsidRPr="00173E15">
              <w:t>furniture glass</w:t>
            </w:r>
          </w:p>
          <w:p w:rsidR="00000000" w:rsidRPr="00173E15" w:rsidP="00173E15">
            <w:pPr>
              <w:pStyle w:val="ListBullet"/>
            </w:pPr>
            <w:r w:rsidRPr="00173E15">
              <w:t>safety glass</w:t>
            </w:r>
          </w:p>
          <w:p w:rsidR="00000000" w:rsidP="00173E15">
            <w:pPr>
              <w:pStyle w:val="ListBullet"/>
              <w:rPr>
                <w:lang w:val="en-NZ"/>
              </w:rPr>
            </w:pPr>
            <w:r w:rsidRPr="00173E15">
              <w:t>patterned or specialty glass</w:t>
            </w:r>
          </w:p>
        </w:tc>
      </w:tr>
      <w:tr w:rsidTr="00173E1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73E15">
            <w:pPr>
              <w:pStyle w:val="BodyText"/>
              <w:rPr>
                <w:lang w:val="en-NZ"/>
              </w:rPr>
            </w:pPr>
            <w:r w:rsidRPr="00173E15">
              <w:rPr>
                <w:rStyle w:val="SpecialBold"/>
              </w:rPr>
              <w:t>Handling and storing glass includes:</w:t>
            </w:r>
          </w:p>
        </w:tc>
        <w:tc>
          <w:tcPr>
            <w:tcW w:w="6312" w:type="dxa"/>
            <w:tcBorders>
              <w:top w:val="nil"/>
              <w:left w:val="nil"/>
              <w:bottom w:val="nil"/>
              <w:right w:val="nil"/>
            </w:tcBorders>
            <w:tcMar>
              <w:top w:w="0" w:type="dxa"/>
              <w:left w:w="62" w:type="dxa"/>
              <w:bottom w:w="0" w:type="dxa"/>
              <w:right w:w="62" w:type="dxa"/>
            </w:tcMar>
          </w:tcPr>
          <w:p w:rsidR="00000000" w:rsidRPr="00173E15" w:rsidP="00173E15">
            <w:pPr>
              <w:pStyle w:val="ListBullet"/>
            </w:pPr>
            <w:r w:rsidRPr="00173E15">
              <w:t xml:space="preserve">handling and storing of glass in quantities appropriate to the workplace requirement </w:t>
            </w:r>
          </w:p>
          <w:p w:rsidR="00000000" w:rsidP="00173E15">
            <w:pPr>
              <w:pStyle w:val="ListBullet"/>
              <w:rPr>
                <w:lang w:val="en-NZ"/>
              </w:rPr>
            </w:pPr>
            <w:r w:rsidRPr="00173E15">
              <w:t>team lifting as well as the application of individual skills</w:t>
            </w:r>
          </w:p>
        </w:tc>
      </w:tr>
      <w:tr w:rsidTr="00173E1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73E15">
            <w:pPr>
              <w:pStyle w:val="BodyText"/>
              <w:rPr>
                <w:lang w:val="en-NZ"/>
              </w:rPr>
            </w:pPr>
            <w:r w:rsidRPr="00173E15">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173E15" w:rsidP="00173E15">
            <w:pPr>
              <w:pStyle w:val="ListBullet"/>
            </w:pPr>
            <w:r w:rsidRPr="00173E15">
              <w:t>hand trolleys</w:t>
            </w:r>
          </w:p>
          <w:p w:rsidR="00000000" w:rsidRPr="00173E15" w:rsidP="00173E15">
            <w:pPr>
              <w:pStyle w:val="ListBullet"/>
            </w:pPr>
            <w:r w:rsidRPr="00173E15">
              <w:t>pallet truck</w:t>
            </w:r>
          </w:p>
          <w:p w:rsidR="00000000" w:rsidRPr="00173E15" w:rsidP="00173E15">
            <w:pPr>
              <w:pStyle w:val="ListBullet"/>
            </w:pPr>
            <w:r w:rsidRPr="00173E15">
              <w:t>gantry crane</w:t>
            </w:r>
          </w:p>
          <w:p w:rsidR="00000000" w:rsidRPr="00173E15" w:rsidP="00173E15">
            <w:pPr>
              <w:pStyle w:val="ListBullet"/>
            </w:pPr>
            <w:r w:rsidRPr="00173E15">
              <w:t>scissors</w:t>
            </w:r>
          </w:p>
          <w:p w:rsidR="00000000" w:rsidRPr="00173E15" w:rsidP="00173E15">
            <w:pPr>
              <w:pStyle w:val="ListBullet"/>
            </w:pPr>
            <w:r w:rsidRPr="00173E15">
              <w:t xml:space="preserve">slings </w:t>
            </w:r>
          </w:p>
          <w:p w:rsidR="00000000" w:rsidRPr="00173E15" w:rsidP="00173E15">
            <w:pPr>
              <w:pStyle w:val="ListBullet"/>
            </w:pPr>
            <w:r w:rsidRPr="00173E15">
              <w:t>air and tilt tables</w:t>
            </w:r>
          </w:p>
          <w:p w:rsidR="00000000" w:rsidRPr="00173E15" w:rsidP="00173E15">
            <w:pPr>
              <w:pStyle w:val="ListBullet"/>
            </w:pPr>
            <w:r w:rsidRPr="00173E15">
              <w:t>vacuum lifters</w:t>
            </w:r>
          </w:p>
          <w:p w:rsidR="00000000" w:rsidRPr="00173E15" w:rsidP="00173E15">
            <w:pPr>
              <w:pStyle w:val="ListBullet"/>
            </w:pPr>
            <w:r w:rsidRPr="00173E15">
              <w:t>crawler track</w:t>
            </w:r>
          </w:p>
          <w:p w:rsidR="00000000" w:rsidP="00173E15">
            <w:pPr>
              <w:pStyle w:val="ListBullet"/>
              <w:rPr>
                <w:lang w:val="en-NZ"/>
              </w:rPr>
            </w:pPr>
            <w:r w:rsidRPr="00173E15">
              <w:t>articulating spider lifts</w:t>
            </w:r>
          </w:p>
        </w:tc>
      </w:tr>
      <w:tr w:rsidTr="00173E1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173E15" w:rsidP="00173E15">
            <w:pPr>
              <w:pStyle w:val="BodyText"/>
            </w:pPr>
            <w:r w:rsidRPr="00173E15">
              <w:rPr>
                <w:rStyle w:val="SpecialBold"/>
              </w:rPr>
              <w:t>Personal protective equipment includes:</w:t>
            </w:r>
          </w:p>
          <w:p w:rsidR="00000000" w:rsidP="00173E15">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173E15" w:rsidP="00173E15">
            <w:pPr>
              <w:pStyle w:val="ListBullet"/>
            </w:pPr>
            <w:r w:rsidRPr="00173E15">
              <w:t>that prescribed under legislation, regulation and enterprise policies and practices:</w:t>
            </w:r>
          </w:p>
          <w:p w:rsidR="00000000" w:rsidRPr="00173E15" w:rsidP="00173E15">
            <w:pPr>
              <w:pStyle w:val="ListBullet2"/>
            </w:pPr>
            <w:r w:rsidRPr="00173E15">
              <w:t>gauntlets</w:t>
            </w:r>
          </w:p>
          <w:p w:rsidR="00000000" w:rsidRPr="00173E15" w:rsidP="00173E15">
            <w:pPr>
              <w:pStyle w:val="ListBullet2"/>
            </w:pPr>
            <w:r w:rsidRPr="00173E15">
              <w:t>gloves</w:t>
            </w:r>
          </w:p>
          <w:p w:rsidR="00000000" w:rsidRPr="00173E15" w:rsidP="00173E15">
            <w:pPr>
              <w:pStyle w:val="ListBullet2"/>
            </w:pPr>
            <w:r w:rsidRPr="00173E15">
              <w:t>safety glasses</w:t>
            </w:r>
          </w:p>
          <w:p w:rsidR="00000000" w:rsidRPr="00173E15" w:rsidP="00173E15">
            <w:pPr>
              <w:pStyle w:val="ListBullet2"/>
            </w:pPr>
            <w:r w:rsidRPr="00173E15">
              <w:t>hard hats</w:t>
            </w:r>
          </w:p>
          <w:p w:rsidR="00000000" w:rsidRPr="00173E15" w:rsidP="00173E15">
            <w:pPr>
              <w:pStyle w:val="ListBullet2"/>
            </w:pPr>
            <w:r w:rsidRPr="00173E15">
              <w:t>safety footwear</w:t>
            </w:r>
          </w:p>
          <w:p w:rsidR="00000000" w:rsidP="00173E15">
            <w:pPr>
              <w:pStyle w:val="ListBullet2"/>
              <w:rPr>
                <w:lang w:val="en-NZ"/>
              </w:rPr>
            </w:pPr>
            <w:r w:rsidRPr="00173E15">
              <w:t>aprons and overalls</w:t>
            </w:r>
          </w:p>
        </w:tc>
      </w:tr>
      <w:tr w:rsidTr="00173E1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173E15">
            <w:pPr>
              <w:pStyle w:val="BodyText"/>
              <w:rPr>
                <w:lang w:val="en-NZ"/>
              </w:rPr>
            </w:pPr>
            <w:r w:rsidRPr="00173E15">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173E15" w:rsidP="00173E15">
            <w:pPr>
              <w:pStyle w:val="ListBullet"/>
            </w:pPr>
            <w:r w:rsidRPr="00173E15">
              <w:t xml:space="preserve">workplace procedures relating to the use of tools and equipment and personal protective equipment </w:t>
            </w:r>
          </w:p>
          <w:p w:rsidR="00000000" w:rsidRPr="00173E15" w:rsidP="00173E15">
            <w:pPr>
              <w:pStyle w:val="ListBullet"/>
            </w:pPr>
            <w:r w:rsidRPr="00173E15">
              <w:t xml:space="preserve">work instructions, including job sheets, cutting lists, plans, drawings and designs </w:t>
            </w:r>
          </w:p>
          <w:p w:rsidR="00000000" w:rsidRPr="00173E15" w:rsidP="00173E15">
            <w:pPr>
              <w:pStyle w:val="ListBullet"/>
            </w:pPr>
            <w:r w:rsidRPr="00173E15">
              <w:t xml:space="preserve">workplace procedures relating to reporting and communication </w:t>
            </w:r>
          </w:p>
          <w:p w:rsidR="00000000" w:rsidRPr="00173E15" w:rsidP="00173E15">
            <w:pPr>
              <w:pStyle w:val="ListBullet"/>
            </w:pPr>
            <w:r w:rsidRPr="00173E15">
              <w:t>manufacturer specifications and operational procedures</w:t>
            </w:r>
          </w:p>
          <w:p w:rsidR="00000000" w:rsidRPr="00173E15" w:rsidP="00173E15">
            <w:pPr>
              <w:pStyle w:val="ListBullet"/>
            </w:pPr>
            <w:r w:rsidRPr="00173E15">
              <w:t>quality standards, including AS/NZS 4667:2000 Quality requirements for cut-to-size and processed glass</w:t>
            </w:r>
          </w:p>
        </w:tc>
      </w:tr>
    </w:tbl>
    <w:p w:rsidR="00000000" w:rsidRPr="00173E15" w:rsidP="00173E15">
      <w:pPr>
        <w:pStyle w:val="BodyText"/>
      </w:pPr>
    </w:p>
    <w:p w:rsidR="00000000" w:rsidRPr="00173E15" w:rsidP="00173E15">
      <w:pPr>
        <w:pStyle w:val="AllowPageBreak"/>
      </w:pPr>
    </w:p>
    <w:p w:rsidR="00000000" w:rsidRPr="00173E15" w:rsidP="00173E15">
      <w:pPr>
        <w:pStyle w:val="Heading1"/>
      </w:pPr>
      <w:bookmarkStart w:id="9" w:name="O_632190"/>
      <w:bookmarkEnd w:id="9"/>
      <w:r w:rsidRPr="00173E15">
        <w:t>Unit Mapping Info</w:t>
      </w:r>
      <w:r w:rsidRPr="00173E15">
        <w:t>rmation</w:t>
      </w:r>
    </w:p>
    <w:p w:rsidR="00000000" w:rsidRPr="00173E15" w:rsidP="00B83262">
      <w:pPr>
        <w:pStyle w:val="BodyText"/>
      </w:pPr>
      <w:r w:rsidRPr="00173E15">
        <w:t>Supersedes and is equivalent to LMFGG3001C Store and handle glass.</w:t>
      </w:r>
    </w:p>
    <w:p w:rsidR="00000000" w:rsidRPr="00173E15" w:rsidP="00173E15">
      <w:pPr>
        <w:pStyle w:val="Heading1"/>
      </w:pPr>
      <w:bookmarkStart w:id="10" w:name="O_632183"/>
      <w:bookmarkEnd w:id="10"/>
      <w:r w:rsidRPr="00173E15">
        <w:t>Links</w:t>
      </w:r>
    </w:p>
    <w:p w:rsidR="00000000" w:rsidRPr="00173E15" w:rsidP="00B83262">
      <w:pPr>
        <w:pStyle w:val="BodyText"/>
      </w:pPr>
      <w:r w:rsidRPr="00173E1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70291">
        <w:rPr>
          <w:rStyle w:val="Hyperlink"/>
        </w:rPr>
        <w:t>https://vetnet.gov.au/Pages/TrainingDocs.aspx?q=0601ab95-583a-4e93-b2d4-cfb27b03ed73</w:t>
      </w:r>
      <w:r>
        <w:fldChar w:fldCharType="end"/>
      </w:r>
    </w:p>
    <w:p w:rsidR="00000000" w:rsidRPr="00173E15" w:rsidP="00B83262">
      <w:pPr>
        <w:pStyle w:val="BodyText"/>
        <w:sectPr w:rsidSect="00173E15">
          <w:headerReference w:type="default" r:id="rId10"/>
          <w:footerReference w:type="default" r:id="rId11"/>
          <w:pgSz w:w="11908" w:h="16833"/>
          <w:pgMar w:top="1702" w:right="1418" w:bottom="1702" w:left="1418" w:header="992" w:footer="992" w:gutter="0"/>
          <w:cols w:space="720"/>
          <w:noEndnote/>
          <w:docGrid w:linePitch="299"/>
        </w:sectPr>
      </w:pPr>
    </w:p>
    <w:p w:rsidR="00000000" w:rsidRPr="00173E15" w:rsidP="00173E15">
      <w:pPr>
        <w:pStyle w:val="SuperHeading"/>
      </w:pPr>
      <w:r w:rsidRPr="00173E15">
        <w:t>Assessment Requirements for MSFGG3001 Store and handle glass</w:t>
      </w:r>
    </w:p>
    <w:p w:rsidR="00000000" w:rsidRPr="00173E15" w:rsidP="00173E15">
      <w:pPr>
        <w:pStyle w:val="Heading1"/>
      </w:pPr>
      <w:bookmarkStart w:id="11" w:name="O_632185"/>
      <w:bookmarkEnd w:id="11"/>
      <w:r w:rsidRPr="00173E15">
        <w:t>Modification History</w:t>
      </w:r>
    </w:p>
    <w:p w:rsidR="00000000" w:rsidRPr="00173E15" w:rsidP="00B83262">
      <w:pPr>
        <w:pStyle w:val="BodyText"/>
      </w:pPr>
      <w:r w:rsidRPr="00173E15">
        <w:t>Release 1 - New unit of competency</w:t>
      </w:r>
    </w:p>
    <w:p w:rsidR="00000000" w:rsidRPr="00173E15" w:rsidP="00173E15">
      <w:pPr>
        <w:pStyle w:val="Heading1"/>
      </w:pPr>
      <w:bookmarkStart w:id="12" w:name="O_632188"/>
      <w:bookmarkEnd w:id="12"/>
      <w:r w:rsidRPr="00173E15">
        <w:t>Performance Evidence</w:t>
      </w:r>
    </w:p>
    <w:p w:rsidR="00000000" w:rsidRPr="00173E15" w:rsidP="00173E15">
      <w:pPr>
        <w:pStyle w:val="ListBullet"/>
      </w:pPr>
      <w:r w:rsidRPr="00173E15">
        <w:t>Interpret work order and locate and ap</w:t>
      </w:r>
      <w:r w:rsidRPr="00173E15">
        <w:t xml:space="preserve">ply relevant information </w:t>
      </w:r>
    </w:p>
    <w:p w:rsidR="00000000" w:rsidRPr="00173E15" w:rsidP="00173E15">
      <w:pPr>
        <w:pStyle w:val="ListBullet"/>
      </w:pPr>
      <w:r w:rsidRPr="00173E15">
        <w:t xml:space="preserve">Apply safe handling requirements for equipment, products and materials, including use of personal protective equipment </w:t>
      </w:r>
    </w:p>
    <w:p w:rsidR="00000000" w:rsidRPr="00173E15" w:rsidP="00173E15">
      <w:pPr>
        <w:pStyle w:val="ListBullet"/>
      </w:pPr>
      <w:r w:rsidRPr="00173E15">
        <w:t xml:space="preserve">Identify materials used in the work process </w:t>
      </w:r>
    </w:p>
    <w:p w:rsidR="00000000" w:rsidRPr="00173E15" w:rsidP="00173E15">
      <w:pPr>
        <w:pStyle w:val="ListBullet"/>
      </w:pPr>
      <w:r w:rsidRPr="00173E15">
        <w:t>Follow work instructions, operating procedures and inspection pro</w:t>
      </w:r>
      <w:r w:rsidRPr="00173E15">
        <w:t xml:space="preserve">cesses to: </w:t>
      </w:r>
    </w:p>
    <w:p w:rsidR="00000000" w:rsidRPr="00173E15" w:rsidP="00173E15">
      <w:pPr>
        <w:pStyle w:val="ListBullet2"/>
      </w:pPr>
      <w:r w:rsidRPr="00173E15">
        <w:t xml:space="preserve">minimise the risk of injury to self or others </w:t>
      </w:r>
    </w:p>
    <w:p w:rsidR="00000000" w:rsidRPr="00173E15" w:rsidP="00173E15">
      <w:pPr>
        <w:pStyle w:val="ListBullet2"/>
      </w:pPr>
      <w:r w:rsidRPr="00173E15">
        <w:t xml:space="preserve">prevent damage to goods, equipment and products </w:t>
      </w:r>
    </w:p>
    <w:p w:rsidR="00000000" w:rsidRPr="00173E15" w:rsidP="00173E15">
      <w:pPr>
        <w:pStyle w:val="ListBullet2"/>
      </w:pPr>
      <w:r w:rsidRPr="00173E15">
        <w:t xml:space="preserve">maintain required production output and product quality </w:t>
      </w:r>
    </w:p>
    <w:p w:rsidR="00000000" w:rsidRPr="00173E15" w:rsidP="00173E15">
      <w:pPr>
        <w:pStyle w:val="ListBullet"/>
      </w:pPr>
      <w:r w:rsidRPr="00173E15">
        <w:t xml:space="preserve">Identify equipment for the handling and </w:t>
      </w:r>
      <w:r w:rsidRPr="00173E15">
        <w:t>storage of glass and calculate the weight of glass</w:t>
      </w:r>
    </w:p>
    <w:p w:rsidR="00000000" w:rsidRPr="00173E15" w:rsidP="00173E15">
      <w:pPr>
        <w:pStyle w:val="ListBullet"/>
      </w:pPr>
      <w:r w:rsidRPr="00173E15">
        <w:t>Handle annealed and/or laminated glass up to, and including, 2.3 m2 (17 kg)</w:t>
      </w:r>
    </w:p>
    <w:p w:rsidR="00000000" w:rsidRPr="00173E15" w:rsidP="00173E15">
      <w:pPr>
        <w:pStyle w:val="ListBullet"/>
      </w:pPr>
      <w:r w:rsidRPr="00173E15">
        <w:t>Team handle annealed and/or laminated glass up to, and including, 4.5 m2 (68 kg)</w:t>
      </w:r>
    </w:p>
    <w:p w:rsidR="00000000" w:rsidRPr="00173E15" w:rsidP="00173E15">
      <w:pPr>
        <w:pStyle w:val="ListBullet"/>
      </w:pPr>
      <w:r w:rsidRPr="00173E15">
        <w:t>Relocate single sheets of glass by vacuum and/or</w:t>
      </w:r>
      <w:r w:rsidRPr="00173E15">
        <w:t xml:space="preserve"> scissor grabs up to 4.5 m2 (170 kg)</w:t>
      </w:r>
    </w:p>
    <w:p w:rsidR="00000000" w:rsidRPr="00173E15" w:rsidP="00173E15">
      <w:pPr>
        <w:pStyle w:val="ListBullet"/>
      </w:pPr>
      <w:r w:rsidRPr="00173E15">
        <w:t>Safely load and secure glass</w:t>
      </w:r>
    </w:p>
    <w:p w:rsidR="00000000" w:rsidRPr="00173E15" w:rsidP="00173E15">
      <w:pPr>
        <w:pStyle w:val="ListBullet"/>
      </w:pPr>
      <w:r w:rsidRPr="00173E15">
        <w:t xml:space="preserve">Use mathematical ideas and techniques to correctly complete measurements, calculate area and estimate material requirements </w:t>
      </w:r>
    </w:p>
    <w:p w:rsidR="00000000" w:rsidRPr="00173E15" w:rsidP="00173E15">
      <w:pPr>
        <w:pStyle w:val="ListBullet"/>
      </w:pPr>
      <w:r w:rsidRPr="00173E15">
        <w:t xml:space="preserve">Communicate ideas and information to enable confirmation of work </w:t>
      </w:r>
      <w:r w:rsidRPr="00173E15">
        <w:t xml:space="preserve">requirements and specifications and the reporting of work outcomes and problems, interpret basic plans and follow safety procedures </w:t>
      </w:r>
    </w:p>
    <w:p w:rsidR="00000000" w:rsidRPr="00173E15" w:rsidP="00173E15">
      <w:pPr>
        <w:pStyle w:val="ListBullet"/>
      </w:pPr>
      <w:r w:rsidRPr="00173E15">
        <w:t>Avoid backtracking, work flow interruptions or wastage</w:t>
      </w:r>
    </w:p>
    <w:p w:rsidR="00000000" w:rsidRPr="00173E15" w:rsidP="00173E15">
      <w:pPr>
        <w:pStyle w:val="ListBullet"/>
      </w:pPr>
      <w:r w:rsidRPr="00173E15">
        <w:t>Work with others and in a team by recognising dependencies and using</w:t>
      </w:r>
      <w:r w:rsidRPr="00173E15">
        <w:t xml:space="preserve"> cooperative approaches to optimise work flow and productivity</w:t>
      </w:r>
    </w:p>
    <w:p w:rsidR="00000000" w:rsidRPr="00173E15" w:rsidP="00173E15">
      <w:pPr>
        <w:pStyle w:val="AllowPageBreak"/>
      </w:pPr>
    </w:p>
    <w:p w:rsidR="00000000" w:rsidRPr="00173E15" w:rsidP="00173E15">
      <w:pPr>
        <w:pStyle w:val="Heading1"/>
      </w:pPr>
      <w:bookmarkStart w:id="13" w:name="O_632187"/>
      <w:bookmarkEnd w:id="13"/>
      <w:r w:rsidRPr="00173E15">
        <w:t>Knowledge Evidence</w:t>
      </w:r>
    </w:p>
    <w:p w:rsidR="00000000" w:rsidRPr="00173E15" w:rsidP="00173E15">
      <w:pPr>
        <w:pStyle w:val="ListBullet"/>
      </w:pPr>
      <w:r w:rsidRPr="00173E15">
        <w:t>Qualities and characteristics of glass, including hazards and handling requirements</w:t>
      </w:r>
    </w:p>
    <w:p w:rsidR="00000000" w:rsidRPr="00173E15" w:rsidP="00173E15">
      <w:pPr>
        <w:pStyle w:val="ListBullet"/>
      </w:pPr>
      <w:r w:rsidRPr="00173E15">
        <w:t>Work flow requirements in relation to the movement and storage of glass</w:t>
      </w:r>
    </w:p>
    <w:p w:rsidR="00000000" w:rsidRPr="00173E15" w:rsidP="00173E15">
      <w:pPr>
        <w:pStyle w:val="ListBullet"/>
      </w:pPr>
      <w:r w:rsidRPr="00173E15">
        <w:t>Glass storage requirements</w:t>
      </w:r>
    </w:p>
    <w:p w:rsidR="00000000" w:rsidRPr="00173E15" w:rsidP="00173E15">
      <w:pPr>
        <w:pStyle w:val="ListBullet"/>
      </w:pPr>
      <w:r w:rsidRPr="00173E15">
        <w:t>Correct identification of equipment, processes and procedures</w:t>
      </w:r>
    </w:p>
    <w:p w:rsidR="00000000" w:rsidRPr="00173E15" w:rsidP="00173E15">
      <w:pPr>
        <w:pStyle w:val="ListBullet"/>
      </w:pPr>
      <w:r w:rsidRPr="00173E15">
        <w:t>Workplace safety system requirements related to the handling, relocation and storage of glass</w:t>
      </w:r>
    </w:p>
    <w:p w:rsidR="00000000" w:rsidRPr="00173E15" w:rsidP="00173E15">
      <w:pPr>
        <w:pStyle w:val="AllowPageBreak"/>
      </w:pPr>
    </w:p>
    <w:p w:rsidR="00000000" w:rsidRPr="00173E15" w:rsidP="00173E15">
      <w:pPr>
        <w:pStyle w:val="Heading1"/>
      </w:pPr>
      <w:bookmarkStart w:id="14" w:name="O_632186"/>
      <w:bookmarkEnd w:id="14"/>
      <w:r w:rsidRPr="00173E15">
        <w:t>Assessment Conditions</w:t>
      </w:r>
    </w:p>
    <w:p w:rsidR="00000000" w:rsidRPr="00173E15" w:rsidP="00173E15">
      <w:pPr>
        <w:pStyle w:val="ListBullet"/>
      </w:pPr>
      <w:r w:rsidRPr="00173E15">
        <w:t>Assessors must:</w:t>
      </w:r>
    </w:p>
    <w:p w:rsidR="00000000" w:rsidRPr="00173E15" w:rsidP="00173E15">
      <w:pPr>
        <w:pStyle w:val="ListBullet2"/>
      </w:pPr>
      <w:r w:rsidRPr="00173E15">
        <w:t>hold training an</w:t>
      </w:r>
      <w:r w:rsidRPr="00173E15">
        <w:t>d assessment competencies as determined by the National Skills Standards Council (NSSC) or its successors</w:t>
      </w:r>
    </w:p>
    <w:p w:rsidR="00000000" w:rsidRPr="00173E15" w:rsidP="00173E15">
      <w:pPr>
        <w:pStyle w:val="ListBullet2"/>
      </w:pPr>
      <w:r w:rsidRPr="00173E15">
        <w:t>have vocational competency in the furnishing industry at least to the level being assessed with broad industry knowledge and experience, usually combi</w:t>
      </w:r>
      <w:r w:rsidRPr="00173E15">
        <w:t xml:space="preserve">ned with a relevant industry qualification </w:t>
      </w:r>
    </w:p>
    <w:p w:rsidR="00000000" w:rsidRPr="00173E15" w:rsidP="00173E15">
      <w:pPr>
        <w:pStyle w:val="ListBullet2"/>
      </w:pPr>
      <w:r w:rsidRPr="00173E15">
        <w:t>be familiar with the current skills and knowledge used and have relevant, current experience in the furnishing industry.</w:t>
      </w:r>
    </w:p>
    <w:p w:rsidR="00000000" w:rsidRPr="00173E15" w:rsidP="00173E15">
      <w:pPr>
        <w:pStyle w:val="ListBullet"/>
      </w:pPr>
      <w:r w:rsidRPr="00173E15">
        <w:t xml:space="preserve">Assessment methods must confirm consistency of performance over time rather than a single </w:t>
      </w:r>
      <w:r w:rsidRPr="00173E15">
        <w:t xml:space="preserve">assessment event and in a range of workplace relevant contexts. </w:t>
      </w:r>
    </w:p>
    <w:p w:rsidR="00000000" w:rsidRPr="00173E15" w:rsidP="00173E15">
      <w:pPr>
        <w:pStyle w:val="ListBullet"/>
      </w:pPr>
      <w:r w:rsidRPr="00173E15">
        <w:t xml:space="preserve">Assessment must be by observation of relevant tasks with questioning on underpinning knowledge and, where applicable, multimedia evidence, supervisor’s reports, projects and work samples. </w:t>
      </w:r>
    </w:p>
    <w:p w:rsidR="00000000" w:rsidRPr="00173E15" w:rsidP="00173E15">
      <w:pPr>
        <w:pStyle w:val="ListBullet"/>
      </w:pPr>
      <w:r w:rsidRPr="00173E15">
        <w:t>Assessment is to be conducted on single units of competency or in conjunction with other related units of competency. Foundation skills are integral to competent performance in the unit and should not be assessed separately.</w:t>
      </w:r>
    </w:p>
    <w:p w:rsidR="00000000" w:rsidRPr="00173E15" w:rsidP="00173E15">
      <w:pPr>
        <w:pStyle w:val="ListBullet"/>
      </w:pPr>
      <w:r w:rsidRPr="00173E15">
        <w:t>Assessment must occur on the jo</w:t>
      </w:r>
      <w:r w:rsidRPr="00173E15">
        <w:t>b or in a workplace simulated facility with relevant process, equipment, materials, work instructions and deadlines.</w:t>
      </w:r>
    </w:p>
    <w:p w:rsidR="00000000" w:rsidRPr="00173E15" w:rsidP="00173E15">
      <w:pPr>
        <w:pStyle w:val="ListBullet"/>
      </w:pPr>
      <w:r w:rsidRPr="00173E15">
        <w:t>Access is required to glass to be stored, workplace operating procedures, personal protective equipment, and an appropriate work area and o</w:t>
      </w:r>
      <w:r w:rsidRPr="00173E15">
        <w:t>thers to assist, as required.</w:t>
      </w:r>
    </w:p>
    <w:p w:rsidR="00000000" w:rsidRPr="00173E15" w:rsidP="00173E15">
      <w:pPr>
        <w:pStyle w:val="AllowPageBreak"/>
      </w:pPr>
    </w:p>
    <w:p w:rsidR="00000000" w:rsidRPr="00173E15" w:rsidP="00173E15">
      <w:pPr>
        <w:pStyle w:val="Heading1"/>
      </w:pPr>
      <w:bookmarkStart w:id="15" w:name="O_632184"/>
      <w:bookmarkEnd w:id="15"/>
      <w:r w:rsidRPr="00173E15">
        <w:t>Links</w:t>
      </w:r>
    </w:p>
    <w:p w:rsidR="00000000" w:rsidRPr="00173E15" w:rsidP="00B83262">
      <w:pPr>
        <w:pStyle w:val="BodyText"/>
      </w:pPr>
      <w:r w:rsidRPr="00173E1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E70291">
        <w:rPr>
          <w:rStyle w:val="Hyperlink"/>
        </w:rPr>
        <w:t>https://vetnet.gov.au/Pages/TrainingDocs.aspx?q=0601ab95-583a-4e93-b2d4-cfb27b03ed73</w:t>
      </w:r>
      <w:r>
        <w:fldChar w:fldCharType="end"/>
      </w:r>
    </w:p>
    <w:p w:rsidR="00000000" w:rsidRPr="00173E15" w:rsidP="00173E15"/>
    <w:sectPr w:rsidSect="00173E1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E1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E15" w:rsidRPr="00B83262" w:rsidP="00B832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E1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262" w:rsidP="00173E1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83262" w:rsidP="00173E1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83262" w:rsidP="00173E1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E15" w:rsidP="00173E15">
    <w:pPr>
      <w:pStyle w:val="Footer"/>
      <w:framePr w:wrap="around"/>
    </w:pPr>
    <w:r>
      <w:fldChar w:fldCharType="begin"/>
    </w:r>
    <w:r>
      <w:instrText xml:space="preserve"> DOCPROPERTY  Subject  \* MERGEFORMAT </w:instrText>
    </w:r>
    <w:r>
      <w:fldChar w:fldCharType="separate"/>
    </w:r>
    <w:r w:rsidR="00B83262">
      <w:t>Approved</w:t>
    </w:r>
    <w:r w:rsidR="00B83262">
      <w:fldChar w:fldCharType="end"/>
    </w:r>
    <w:r>
      <w:tab/>
      <w:t xml:space="preserve">Page </w:t>
    </w:r>
    <w:r>
      <w:fldChar w:fldCharType="begin"/>
    </w:r>
    <w:r>
      <w:instrText xml:space="preserve"> PAGE  \* Arabic  \* MERGEFORMAT </w:instrText>
    </w:r>
    <w:r>
      <w:fldChar w:fldCharType="separate"/>
    </w:r>
    <w:r w:rsidR="00B8326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83262">
      <w:rPr>
        <w:noProof/>
      </w:rPr>
      <w:t>5</w:t>
    </w:r>
    <w:r>
      <w:rPr>
        <w:noProof/>
      </w:rPr>
      <w:fldChar w:fldCharType="end"/>
    </w:r>
  </w:p>
  <w:p w:rsidR="00173E15" w:rsidP="00173E15">
    <w:pPr>
      <w:pStyle w:val="Footer"/>
      <w:framePr w:wrap="around"/>
    </w:pPr>
    <w:r>
      <w:t xml:space="preserve">© Commonwealth of Australia, </w:t>
    </w:r>
    <w:r>
      <w:fldChar w:fldCharType="begin"/>
    </w:r>
    <w:r>
      <w:instrText xml:space="preserve"> DATE  \@ "yyyy"  \* MERGEFORMAT </w:instrText>
    </w:r>
    <w:r>
      <w:fldChar w:fldCharType="separate"/>
    </w:r>
    <w:r w:rsidR="00B83262">
      <w:rPr>
        <w:noProof/>
      </w:rPr>
      <w:t>2025</w:t>
    </w:r>
    <w:r>
      <w:fldChar w:fldCharType="end"/>
    </w:r>
    <w:r>
      <w:tab/>
    </w:r>
    <w:r>
      <w:fldChar w:fldCharType="begin"/>
    </w:r>
    <w:r>
      <w:instrText xml:space="preserve"> DOCPROPERTY  Author  \* MERGEFORMAT </w:instrText>
    </w:r>
    <w:r>
      <w:fldChar w:fldCharType="separate"/>
    </w:r>
    <w:r w:rsidR="00B83262">
      <w:t>Skills Insight</w:t>
    </w:r>
    <w:r w:rsidR="00B83262">
      <w:fldChar w:fldCharType="end"/>
    </w:r>
  </w:p>
  <w:p w:rsidR="00173E15" w:rsidP="00173E1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E1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2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3E15" w:rsidRPr="00B83262" w:rsidP="00B832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E1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3262" w:rsidRPr="002D2AF8" w:rsidP="00173E15">
    <w:pPr>
      <w:pStyle w:val="Header"/>
      <w:framePr w:wrap="around"/>
    </w:pPr>
    <w:r>
      <w:fldChar w:fldCharType="begin"/>
    </w:r>
    <w:r>
      <w:instrText xml:space="preserve"> TITLE   \* MERGEFORMAT </w:instrText>
    </w:r>
    <w:r>
      <w:fldChar w:fldCharType="separate"/>
    </w:r>
    <w:r>
      <w:t>MSFGG3001 Store and handle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83262" w:rsidP="00173E1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E15" w:rsidRPr="002D2AF8" w:rsidP="00173E15">
    <w:pPr>
      <w:pStyle w:val="Header"/>
      <w:framePr w:wrap="around"/>
    </w:pPr>
    <w:r>
      <w:fldChar w:fldCharType="begin"/>
    </w:r>
    <w:r>
      <w:instrText xml:space="preserve"> TITLE   \* MERGEFORMAT </w:instrText>
    </w:r>
    <w:r>
      <w:fldChar w:fldCharType="separate"/>
    </w:r>
    <w:r w:rsidR="00B83262">
      <w:t>MSFGG3001 Store and handle glass</w:t>
    </w:r>
    <w:r w:rsidR="00B83262">
      <w:fldChar w:fldCharType="end"/>
    </w:r>
    <w:r>
      <w:tab/>
      <w:t xml:space="preserve">Date this document was generated: </w:t>
    </w:r>
    <w:r>
      <w:fldChar w:fldCharType="begin"/>
    </w:r>
    <w:r>
      <w:instrText xml:space="preserve"> CREATEDATE  \@ "d MMMM yyyy"  \* MERGEFORMAT </w:instrText>
    </w:r>
    <w:r>
      <w:fldChar w:fldCharType="separate"/>
    </w:r>
    <w:r w:rsidR="00B83262">
      <w:rPr>
        <w:noProof/>
      </w:rPr>
      <w:t>2 March 2025</w:t>
    </w:r>
    <w:r>
      <w:fldChar w:fldCharType="end"/>
    </w:r>
  </w:p>
  <w:p w:rsidR="00173E15" w:rsidP="00173E1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1600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E65D2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6CEDA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3E1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3E15"/>
    <w:pPr>
      <w:spacing w:before="360" w:after="60"/>
      <w:outlineLvl w:val="0"/>
    </w:pPr>
    <w:rPr>
      <w:sz w:val="32"/>
    </w:rPr>
  </w:style>
  <w:style w:type="paragraph" w:styleId="Heading2">
    <w:name w:val="heading 2"/>
    <w:basedOn w:val="HeadingBase"/>
    <w:next w:val="BodyText"/>
    <w:link w:val="Heading2Char"/>
    <w:qFormat/>
    <w:rsid w:val="00173E15"/>
    <w:pPr>
      <w:keepLines/>
      <w:spacing w:before="240" w:after="120"/>
      <w:outlineLvl w:val="1"/>
    </w:pPr>
    <w:rPr>
      <w:sz w:val="28"/>
      <w:szCs w:val="40"/>
    </w:rPr>
  </w:style>
  <w:style w:type="paragraph" w:styleId="Heading3">
    <w:name w:val="heading 3"/>
    <w:basedOn w:val="HeadingBase"/>
    <w:next w:val="BodyText"/>
    <w:link w:val="Heading3Char"/>
    <w:qFormat/>
    <w:rsid w:val="00173E15"/>
    <w:pPr>
      <w:spacing w:before="180" w:after="120"/>
      <w:outlineLvl w:val="2"/>
    </w:pPr>
    <w:rPr>
      <w:spacing w:val="-10"/>
      <w:kern w:val="32"/>
    </w:rPr>
  </w:style>
  <w:style w:type="paragraph" w:styleId="Heading4">
    <w:name w:val="heading 4"/>
    <w:basedOn w:val="HeadingBase"/>
    <w:next w:val="BodyText"/>
    <w:link w:val="Heading4Char"/>
    <w:qFormat/>
    <w:rsid w:val="00173E15"/>
    <w:pPr>
      <w:spacing w:before="160" w:after="120"/>
      <w:outlineLvl w:val="3"/>
    </w:pPr>
    <w:rPr>
      <w:sz w:val="22"/>
    </w:rPr>
  </w:style>
  <w:style w:type="paragraph" w:styleId="Heading5">
    <w:name w:val="heading 5"/>
    <w:basedOn w:val="HeadingBase"/>
    <w:next w:val="Normal"/>
    <w:link w:val="Heading5Char"/>
    <w:qFormat/>
    <w:rsid w:val="00173E15"/>
    <w:pPr>
      <w:spacing w:before="80"/>
      <w:outlineLvl w:val="4"/>
    </w:pPr>
    <w:rPr>
      <w:color w:val="918585"/>
      <w:sz w:val="20"/>
    </w:rPr>
  </w:style>
  <w:style w:type="paragraph" w:styleId="Heading6">
    <w:name w:val="heading 6"/>
    <w:basedOn w:val="HeadingBase"/>
    <w:next w:val="Normal"/>
    <w:link w:val="Heading6Char"/>
    <w:qFormat/>
    <w:rsid w:val="00173E15"/>
    <w:pPr>
      <w:spacing w:before="60"/>
      <w:outlineLvl w:val="5"/>
    </w:pPr>
    <w:rPr>
      <w:color w:val="918585"/>
      <w:sz w:val="20"/>
    </w:rPr>
  </w:style>
  <w:style w:type="paragraph" w:styleId="Heading7">
    <w:name w:val="heading 7"/>
    <w:basedOn w:val="Normal"/>
    <w:next w:val="Normal"/>
    <w:link w:val="Heading7Char"/>
    <w:qFormat/>
    <w:rsid w:val="00173E15"/>
    <w:pPr>
      <w:ind w:left="720"/>
      <w:outlineLvl w:val="6"/>
    </w:pPr>
    <w:rPr>
      <w:i/>
    </w:rPr>
  </w:style>
  <w:style w:type="paragraph" w:styleId="Heading8">
    <w:name w:val="heading 8"/>
    <w:basedOn w:val="Normal"/>
    <w:next w:val="Normal"/>
    <w:link w:val="Heading8Char"/>
    <w:qFormat/>
    <w:rsid w:val="00173E15"/>
    <w:pPr>
      <w:ind w:left="720"/>
      <w:outlineLvl w:val="7"/>
    </w:pPr>
    <w:rPr>
      <w:i/>
    </w:rPr>
  </w:style>
  <w:style w:type="paragraph" w:styleId="Heading9">
    <w:name w:val="heading 9"/>
    <w:basedOn w:val="Normal"/>
    <w:next w:val="Normal"/>
    <w:link w:val="Heading9Char"/>
    <w:qFormat/>
    <w:rsid w:val="00173E15"/>
    <w:pPr>
      <w:ind w:left="720"/>
      <w:outlineLvl w:val="8"/>
    </w:pPr>
    <w:rPr>
      <w:i/>
    </w:rPr>
  </w:style>
  <w:style w:type="character" w:default="1" w:styleId="DefaultParagraphFont">
    <w:name w:val="Default Paragraph Font"/>
    <w:uiPriority w:val="1"/>
    <w:unhideWhenUsed/>
    <w:rsid w:val="00173E1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3E15"/>
  </w:style>
  <w:style w:type="character" w:customStyle="1" w:styleId="Heading1Char">
    <w:name w:val="Heading 1 Char"/>
    <w:basedOn w:val="DefaultParagraphFont"/>
    <w:link w:val="Heading1"/>
    <w:rsid w:val="00173E15"/>
    <w:rPr>
      <w:rFonts w:ascii="Times New Roman" w:eastAsia="Times New Roman" w:hAnsi="Times New Roman" w:cs="Times New Roman"/>
      <w:b/>
      <w:sz w:val="32"/>
      <w:szCs w:val="20"/>
      <w:lang w:eastAsia="en-US"/>
    </w:rPr>
  </w:style>
  <w:style w:type="paragraph" w:styleId="BodyText">
    <w:name w:val="Body Text"/>
    <w:basedOn w:val="Normal"/>
    <w:link w:val="BodyTextChar"/>
    <w:rsid w:val="00173E1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3E15"/>
    <w:rPr>
      <w:rFonts w:ascii="Times New Roman" w:eastAsia="Times New Roman" w:hAnsi="Times New Roman" w:cs="Times New Roman"/>
      <w:sz w:val="24"/>
      <w:lang w:eastAsia="en-US"/>
    </w:rPr>
  </w:style>
  <w:style w:type="paragraph" w:styleId="ListBullet">
    <w:name w:val="List Bullet"/>
    <w:basedOn w:val="List"/>
    <w:rsid w:val="00173E15"/>
    <w:pPr>
      <w:numPr>
        <w:numId w:val="12"/>
      </w:numPr>
      <w:tabs>
        <w:tab w:val="clear" w:pos="340"/>
      </w:tabs>
      <w:spacing w:before="40" w:after="40"/>
    </w:pPr>
  </w:style>
  <w:style w:type="character" w:customStyle="1" w:styleId="SpecialBold">
    <w:name w:val="Special Bold"/>
    <w:basedOn w:val="DefaultParagraphFont"/>
    <w:rsid w:val="00173E15"/>
    <w:rPr>
      <w:b/>
      <w:spacing w:val="0"/>
    </w:rPr>
  </w:style>
  <w:style w:type="paragraph" w:styleId="ListBullet2">
    <w:name w:val="List Bullet 2"/>
    <w:basedOn w:val="List2"/>
    <w:rsid w:val="00173E15"/>
    <w:pPr>
      <w:numPr>
        <w:numId w:val="13"/>
      </w:numPr>
      <w:tabs>
        <w:tab w:val="clear" w:pos="680"/>
      </w:tabs>
    </w:pPr>
  </w:style>
  <w:style w:type="paragraph" w:customStyle="1" w:styleId="SuperHeading">
    <w:name w:val="SuperHeading"/>
    <w:basedOn w:val="Normal"/>
    <w:rsid w:val="00173E15"/>
    <w:pPr>
      <w:spacing w:before="240" w:after="120"/>
      <w:outlineLvl w:val="0"/>
    </w:pPr>
    <w:rPr>
      <w:rFonts w:ascii="Times New Roman" w:hAnsi="Times New Roman"/>
      <w:b/>
      <w:sz w:val="32"/>
    </w:rPr>
  </w:style>
  <w:style w:type="paragraph" w:customStyle="1" w:styleId="AllowPageBreak">
    <w:name w:val="AllowPageBreak"/>
    <w:rsid w:val="00173E1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73E1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3E1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3E1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3E1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3E1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3E1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3E1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3E15"/>
    <w:rPr>
      <w:rFonts w:ascii="Courier New" w:eastAsia="Times New Roman" w:hAnsi="Courier New" w:cs="Times New Roman"/>
      <w:i/>
      <w:szCs w:val="20"/>
      <w:lang w:eastAsia="en-US"/>
    </w:rPr>
  </w:style>
  <w:style w:type="paragraph" w:customStyle="1" w:styleId="HeadingBase">
    <w:name w:val="Heading Base"/>
    <w:rsid w:val="00173E1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3E15"/>
    <w:pPr>
      <w:tabs>
        <w:tab w:val="right" w:leader="dot" w:pos="9072"/>
      </w:tabs>
      <w:ind w:left="567"/>
    </w:pPr>
    <w:rPr>
      <w:szCs w:val="22"/>
    </w:rPr>
  </w:style>
  <w:style w:type="paragraph" w:customStyle="1" w:styleId="TOCBase">
    <w:name w:val="TOC Base"/>
    <w:rsid w:val="00173E1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3E15"/>
    <w:pPr>
      <w:tabs>
        <w:tab w:val="right" w:leader="dot" w:pos="9072"/>
      </w:tabs>
      <w:spacing w:before="40" w:after="40"/>
      <w:ind w:left="284"/>
    </w:pPr>
    <w:rPr>
      <w:rFonts w:ascii="Times New Roman" w:hAnsi="Times New Roman"/>
    </w:rPr>
  </w:style>
  <w:style w:type="paragraph" w:styleId="TOC1">
    <w:name w:val="toc 1"/>
    <w:basedOn w:val="TOCBase"/>
    <w:next w:val="Normal"/>
    <w:rsid w:val="00173E1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3E1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3E15"/>
    <w:rPr>
      <w:rFonts w:ascii="Times New Roman" w:eastAsia="Times New Roman" w:hAnsi="Times New Roman" w:cs="Times New Roman"/>
      <w:sz w:val="16"/>
      <w:lang w:eastAsia="en-US"/>
    </w:rPr>
  </w:style>
  <w:style w:type="paragraph" w:styleId="Title">
    <w:name w:val="Title"/>
    <w:basedOn w:val="HeadingBase"/>
    <w:link w:val="TitleChar"/>
    <w:qFormat/>
    <w:rsid w:val="00173E15"/>
    <w:pPr>
      <w:spacing w:before="5040"/>
      <w:jc w:val="center"/>
    </w:pPr>
    <w:rPr>
      <w:sz w:val="48"/>
      <w:szCs w:val="72"/>
      <w:lang w:val="en-US"/>
    </w:rPr>
  </w:style>
  <w:style w:type="character" w:customStyle="1" w:styleId="TitleChar">
    <w:name w:val="Title Char"/>
    <w:basedOn w:val="DefaultParagraphFont"/>
    <w:link w:val="Title"/>
    <w:rsid w:val="00173E1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3E15"/>
    <w:pPr>
      <w:tabs>
        <w:tab w:val="left" w:pos="3600"/>
        <w:tab w:val="left" w:pos="3958"/>
      </w:tabs>
    </w:pPr>
  </w:style>
  <w:style w:type="paragraph" w:styleId="List">
    <w:name w:val="List"/>
    <w:basedOn w:val="BodyText"/>
    <w:next w:val="BodyText"/>
    <w:rsid w:val="00173E15"/>
    <w:pPr>
      <w:tabs>
        <w:tab w:val="left" w:pos="340"/>
      </w:tabs>
      <w:spacing w:before="60" w:after="60"/>
      <w:ind w:left="340" w:hanging="340"/>
    </w:pPr>
  </w:style>
  <w:style w:type="paragraph" w:customStyle="1" w:styleId="Note">
    <w:name w:val="Note"/>
    <w:basedOn w:val="BodyText"/>
    <w:rsid w:val="00173E1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3E15"/>
    <w:pPr>
      <w:framePr w:wrap="auto" w:hAnchor="text" w:y="6049"/>
    </w:pPr>
    <w:rPr>
      <w:color w:val="000000"/>
      <w:sz w:val="40"/>
    </w:rPr>
  </w:style>
  <w:style w:type="paragraph" w:customStyle="1" w:styleId="TOCTitle">
    <w:name w:val="TOCTitle"/>
    <w:basedOn w:val="Heading1"/>
    <w:rsid w:val="00173E15"/>
    <w:pPr>
      <w:spacing w:after="240"/>
      <w:jc w:val="center"/>
      <w:outlineLvl w:val="9"/>
    </w:pPr>
    <w:rPr>
      <w:caps/>
    </w:rPr>
  </w:style>
  <w:style w:type="paragraph" w:customStyle="1" w:styleId="Version">
    <w:name w:val="Version"/>
    <w:rsid w:val="00173E1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73E15"/>
    <w:pPr>
      <w:keepNext w:val="0"/>
      <w:tabs>
        <w:tab w:val="right" w:pos="4176"/>
      </w:tabs>
      <w:ind w:left="198" w:hanging="198"/>
    </w:pPr>
    <w:rPr>
      <w:rFonts w:ascii="Garamond" w:hAnsi="Garamond"/>
    </w:rPr>
  </w:style>
  <w:style w:type="paragraph" w:styleId="IndexHeading">
    <w:name w:val="index heading"/>
    <w:basedOn w:val="Normal"/>
    <w:next w:val="Index1"/>
    <w:semiHidden/>
    <w:rsid w:val="00173E15"/>
    <w:pPr>
      <w:spacing w:before="120" w:after="120"/>
    </w:pPr>
    <w:rPr>
      <w:rFonts w:ascii="Arial" w:hAnsi="Arial"/>
      <w:b/>
      <w:color w:val="918585"/>
      <w:sz w:val="24"/>
    </w:rPr>
  </w:style>
  <w:style w:type="paragraph" w:styleId="Header">
    <w:name w:val="header"/>
    <w:basedOn w:val="Normal"/>
    <w:link w:val="HeaderChar"/>
    <w:rsid w:val="00173E1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3E15"/>
    <w:rPr>
      <w:rFonts w:ascii="Times New Roman" w:eastAsia="Times New Roman" w:hAnsi="Times New Roman" w:cs="Times New Roman"/>
      <w:sz w:val="16"/>
      <w:szCs w:val="20"/>
      <w:lang w:val="en-GB" w:eastAsia="en-US"/>
    </w:rPr>
  </w:style>
  <w:style w:type="paragraph" w:customStyle="1" w:styleId="Chapter">
    <w:name w:val="Chapter"/>
    <w:basedOn w:val="Normal"/>
    <w:rsid w:val="00173E15"/>
    <w:pPr>
      <w:spacing w:before="240"/>
    </w:pPr>
    <w:rPr>
      <w:rFonts w:ascii="Times New Roman" w:hAnsi="Times New Roman"/>
      <w:smallCaps/>
      <w:spacing w:val="80"/>
      <w:sz w:val="28"/>
    </w:rPr>
  </w:style>
  <w:style w:type="paragraph" w:customStyle="1" w:styleId="InChapter">
    <w:name w:val="InChapter"/>
    <w:basedOn w:val="Heading3"/>
    <w:rsid w:val="00173E15"/>
    <w:pPr>
      <w:spacing w:after="240"/>
      <w:outlineLvl w:val="9"/>
    </w:pPr>
    <w:rPr>
      <w:noProof/>
    </w:rPr>
  </w:style>
  <w:style w:type="paragraph" w:styleId="Index2">
    <w:name w:val="index 2"/>
    <w:basedOn w:val="Normal"/>
    <w:next w:val="Normal"/>
    <w:semiHidden/>
    <w:rsid w:val="00173E15"/>
    <w:pPr>
      <w:tabs>
        <w:tab w:val="right" w:pos="4176"/>
      </w:tabs>
      <w:ind w:left="568" w:hanging="284"/>
    </w:pPr>
    <w:rPr>
      <w:rFonts w:ascii="Garamond" w:hAnsi="Garamond"/>
    </w:rPr>
  </w:style>
  <w:style w:type="paragraph" w:customStyle="1" w:styleId="Byline">
    <w:name w:val="Byline"/>
    <w:rsid w:val="00173E1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3E15"/>
    <w:pPr>
      <w:tabs>
        <w:tab w:val="clear" w:pos="3600"/>
        <w:tab w:val="clear" w:pos="3958"/>
      </w:tabs>
      <w:jc w:val="right"/>
    </w:pPr>
  </w:style>
  <w:style w:type="character" w:styleId="Emphasis">
    <w:name w:val="Emphasis"/>
    <w:basedOn w:val="DefaultParagraphFont"/>
    <w:qFormat/>
    <w:rsid w:val="00173E15"/>
    <w:rPr>
      <w:i/>
    </w:rPr>
  </w:style>
  <w:style w:type="paragraph" w:styleId="Caption">
    <w:name w:val="caption"/>
    <w:basedOn w:val="BodyText"/>
    <w:next w:val="Normal"/>
    <w:qFormat/>
    <w:rsid w:val="00173E15"/>
    <w:pPr>
      <w:framePr w:w="2268" w:hSpace="181" w:vSpace="181" w:wrap="around" w:vAnchor="text" w:hAnchor="page" w:x="1135" w:y="285" w:anchorLock="1"/>
    </w:pPr>
    <w:rPr>
      <w:i/>
    </w:rPr>
  </w:style>
  <w:style w:type="paragraph" w:customStyle="1" w:styleId="MiniTOCTitle">
    <w:name w:val="MiniTOCTitle"/>
    <w:basedOn w:val="Heading4"/>
    <w:rsid w:val="00173E15"/>
    <w:pPr>
      <w:spacing w:before="240"/>
      <w:outlineLvl w:val="9"/>
    </w:pPr>
    <w:rPr>
      <w:noProof/>
      <w:sz w:val="24"/>
    </w:rPr>
  </w:style>
  <w:style w:type="paragraph" w:customStyle="1" w:styleId="MiniTOCItem">
    <w:name w:val="MiniTOCItem"/>
    <w:basedOn w:val="ListBullet"/>
    <w:rsid w:val="00173E15"/>
    <w:pPr>
      <w:numPr>
        <w:numId w:val="0"/>
      </w:numPr>
      <w:tabs>
        <w:tab w:val="right" w:leader="dot" w:pos="6521"/>
      </w:tabs>
      <w:spacing w:before="0" w:after="0"/>
    </w:pPr>
  </w:style>
  <w:style w:type="paragraph" w:customStyle="1" w:styleId="TOFTitle">
    <w:name w:val="TOFTitle"/>
    <w:basedOn w:val="TOCTitle"/>
    <w:rsid w:val="00173E15"/>
  </w:style>
  <w:style w:type="paragraph" w:styleId="TableofFigures">
    <w:name w:val="table of figures"/>
    <w:basedOn w:val="Normal"/>
    <w:next w:val="Normal"/>
    <w:semiHidden/>
    <w:rsid w:val="00173E15"/>
    <w:pPr>
      <w:tabs>
        <w:tab w:val="right" w:leader="dot" w:pos="9072"/>
      </w:tabs>
      <w:ind w:left="970" w:hanging="403"/>
    </w:pPr>
    <w:rPr>
      <w:rFonts w:ascii="Times New Roman" w:hAnsi="Times New Roman"/>
      <w:b/>
    </w:rPr>
  </w:style>
  <w:style w:type="paragraph" w:styleId="ListNumber">
    <w:name w:val="List Number"/>
    <w:basedOn w:val="List"/>
    <w:rsid w:val="00173E15"/>
    <w:pPr>
      <w:numPr>
        <w:numId w:val="15"/>
      </w:numPr>
      <w:tabs>
        <w:tab w:val="clear" w:pos="340"/>
      </w:tabs>
    </w:pPr>
  </w:style>
  <w:style w:type="character" w:customStyle="1" w:styleId="WingdingSymbols">
    <w:name w:val="Wingding Symbols"/>
    <w:rsid w:val="00173E15"/>
    <w:rPr>
      <w:rFonts w:ascii="Wingdings" w:hAnsi="Wingdings"/>
    </w:rPr>
  </w:style>
  <w:style w:type="paragraph" w:customStyle="1" w:styleId="TableHeading">
    <w:name w:val="Table Heading"/>
    <w:basedOn w:val="HeadingBase"/>
    <w:rsid w:val="00173E15"/>
    <w:pPr>
      <w:keepLines/>
      <w:pBdr>
        <w:bottom w:val="single" w:sz="6" w:space="1" w:color="918585"/>
      </w:pBdr>
      <w:spacing w:before="240"/>
    </w:pPr>
  </w:style>
  <w:style w:type="character" w:customStyle="1" w:styleId="HotSpot">
    <w:name w:val="HotSpot"/>
    <w:rsid w:val="00173E15"/>
    <w:rPr>
      <w:color w:val="0033CC"/>
      <w:u w:val="none"/>
    </w:rPr>
  </w:style>
  <w:style w:type="paragraph" w:customStyle="1" w:styleId="BodyTextRight">
    <w:name w:val="Body Text Right"/>
    <w:basedOn w:val="BodyText"/>
    <w:rsid w:val="00173E15"/>
    <w:pPr>
      <w:spacing w:before="0" w:after="0"/>
      <w:jc w:val="right"/>
    </w:pPr>
  </w:style>
  <w:style w:type="paragraph" w:styleId="Index3">
    <w:name w:val="index 3"/>
    <w:basedOn w:val="ListNumber2"/>
    <w:next w:val="Normal"/>
    <w:semiHidden/>
    <w:rsid w:val="00173E15"/>
    <w:pPr>
      <w:numPr>
        <w:numId w:val="0"/>
      </w:numPr>
      <w:tabs>
        <w:tab w:val="right" w:leader="dot" w:pos="4176"/>
      </w:tabs>
    </w:pPr>
  </w:style>
  <w:style w:type="paragraph" w:styleId="ListNumber2">
    <w:name w:val="List Number 2"/>
    <w:basedOn w:val="List2"/>
    <w:rsid w:val="00173E15"/>
    <w:pPr>
      <w:numPr>
        <w:numId w:val="10"/>
      </w:numPr>
      <w:tabs>
        <w:tab w:val="clear" w:pos="1060"/>
      </w:tabs>
    </w:pPr>
  </w:style>
  <w:style w:type="paragraph" w:customStyle="1" w:styleId="MarginNote">
    <w:name w:val="Margin Note"/>
    <w:basedOn w:val="BodyText"/>
    <w:rsid w:val="00173E1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3E1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3E1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3E15"/>
    <w:rPr>
      <w:sz w:val="32"/>
    </w:rPr>
  </w:style>
  <w:style w:type="paragraph" w:customStyle="1" w:styleId="HeadingProcedure">
    <w:name w:val="Heading Procedure"/>
    <w:basedOn w:val="HeadingBase"/>
    <w:next w:val="Normal"/>
    <w:rsid w:val="00173E15"/>
    <w:pPr>
      <w:tabs>
        <w:tab w:val="left" w:pos="0"/>
      </w:tabs>
      <w:spacing w:before="120" w:after="60"/>
    </w:pPr>
    <w:rPr>
      <w:i/>
      <w:color w:val="918585"/>
      <w:sz w:val="22"/>
    </w:rPr>
  </w:style>
  <w:style w:type="paragraph" w:customStyle="1" w:styleId="TableBodyText">
    <w:name w:val="Table Body Text"/>
    <w:basedOn w:val="BodyText"/>
    <w:rsid w:val="00173E15"/>
    <w:pPr>
      <w:spacing w:before="60" w:after="60"/>
    </w:pPr>
  </w:style>
  <w:style w:type="paragraph" w:styleId="ListContinue">
    <w:name w:val="List Continue"/>
    <w:basedOn w:val="List"/>
    <w:rsid w:val="00173E15"/>
    <w:pPr>
      <w:ind w:firstLine="0"/>
    </w:pPr>
  </w:style>
  <w:style w:type="paragraph" w:customStyle="1" w:styleId="ListNote">
    <w:name w:val="List Note"/>
    <w:basedOn w:val="List"/>
    <w:rsid w:val="00173E15"/>
    <w:pPr>
      <w:pBdr>
        <w:top w:val="single" w:sz="6" w:space="2" w:color="918585"/>
        <w:bottom w:val="single" w:sz="6" w:space="2" w:color="918585"/>
      </w:pBdr>
      <w:tabs>
        <w:tab w:val="left" w:pos="1021"/>
      </w:tabs>
      <w:ind w:firstLine="0"/>
    </w:pPr>
  </w:style>
  <w:style w:type="paragraph" w:customStyle="1" w:styleId="Warning">
    <w:name w:val="Warning"/>
    <w:basedOn w:val="BodyText"/>
    <w:rsid w:val="00173E15"/>
    <w:pPr>
      <w:shd w:val="clear" w:color="auto" w:fill="D9D9D9"/>
      <w:tabs>
        <w:tab w:val="left" w:pos="992"/>
      </w:tabs>
      <w:ind w:left="119" w:right="119"/>
    </w:pPr>
    <w:rPr>
      <w:sz w:val="20"/>
    </w:rPr>
  </w:style>
  <w:style w:type="paragraph" w:customStyle="1" w:styleId="MarginIcons">
    <w:name w:val="Margin Icons"/>
    <w:basedOn w:val="BodyText"/>
    <w:rsid w:val="00173E1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3E15"/>
    <w:rPr>
      <w:rFonts w:ascii="Courier New" w:hAnsi="Courier New"/>
    </w:rPr>
  </w:style>
  <w:style w:type="paragraph" w:customStyle="1" w:styleId="NoteBullet">
    <w:name w:val="Note Bullet"/>
    <w:basedOn w:val="Note"/>
    <w:rsid w:val="00173E15"/>
    <w:pPr>
      <w:tabs>
        <w:tab w:val="clear" w:pos="680"/>
      </w:tabs>
      <w:spacing w:before="60" w:after="60"/>
    </w:pPr>
  </w:style>
  <w:style w:type="paragraph" w:customStyle="1" w:styleId="SubHeading2">
    <w:name w:val="SubHeading2"/>
    <w:basedOn w:val="HeadingBase"/>
    <w:rsid w:val="00173E15"/>
    <w:pPr>
      <w:spacing w:before="240" w:after="60"/>
    </w:pPr>
    <w:rPr>
      <w:sz w:val="20"/>
    </w:rPr>
  </w:style>
  <w:style w:type="paragraph" w:customStyle="1" w:styleId="SubHeading1">
    <w:name w:val="SubHeading1"/>
    <w:basedOn w:val="HeadingBase"/>
    <w:rsid w:val="00173E15"/>
    <w:pPr>
      <w:spacing w:before="240" w:after="60"/>
    </w:pPr>
    <w:rPr>
      <w:color w:val="918585"/>
      <w:sz w:val="22"/>
    </w:rPr>
  </w:style>
  <w:style w:type="paragraph" w:customStyle="1" w:styleId="SideHeading">
    <w:name w:val="Side Heading"/>
    <w:basedOn w:val="HeadingBase"/>
    <w:rsid w:val="00173E1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3E15"/>
    <w:pPr>
      <w:tabs>
        <w:tab w:val="num" w:pos="360"/>
      </w:tabs>
    </w:pPr>
  </w:style>
  <w:style w:type="paragraph" w:styleId="PlainText">
    <w:name w:val="Plain Text"/>
    <w:basedOn w:val="Normal"/>
    <w:link w:val="PlainTextChar"/>
    <w:rsid w:val="00173E15"/>
    <w:rPr>
      <w:sz w:val="20"/>
    </w:rPr>
  </w:style>
  <w:style w:type="character" w:customStyle="1" w:styleId="PlainTextChar">
    <w:name w:val="Plain Text Char"/>
    <w:basedOn w:val="DefaultParagraphFont"/>
    <w:link w:val="PlainText"/>
    <w:rsid w:val="00173E15"/>
    <w:rPr>
      <w:rFonts w:ascii="Courier New" w:eastAsia="Times New Roman" w:hAnsi="Courier New" w:cs="Times New Roman"/>
      <w:sz w:val="20"/>
      <w:szCs w:val="20"/>
      <w:lang w:eastAsia="en-US"/>
    </w:rPr>
  </w:style>
  <w:style w:type="character" w:customStyle="1" w:styleId="MenuOption">
    <w:name w:val="Menu Option"/>
    <w:basedOn w:val="DefaultParagraphFont"/>
    <w:rsid w:val="00173E15"/>
    <w:rPr>
      <w:b/>
      <w:smallCaps/>
    </w:rPr>
  </w:style>
  <w:style w:type="paragraph" w:customStyle="1" w:styleId="TableListNumber">
    <w:name w:val="Table List Number"/>
    <w:basedOn w:val="ListNumber"/>
    <w:rsid w:val="00173E15"/>
    <w:pPr>
      <w:numPr>
        <w:numId w:val="0"/>
      </w:numPr>
    </w:pPr>
  </w:style>
  <w:style w:type="paragraph" w:styleId="TOC4">
    <w:name w:val="toc 4"/>
    <w:basedOn w:val="TOCBase"/>
    <w:next w:val="Normal"/>
    <w:semiHidden/>
    <w:rsid w:val="00173E15"/>
    <w:pPr>
      <w:tabs>
        <w:tab w:val="right" w:leader="dot" w:pos="9071"/>
      </w:tabs>
      <w:ind w:left="1701"/>
    </w:pPr>
  </w:style>
  <w:style w:type="paragraph" w:customStyle="1" w:styleId="ListAlpha">
    <w:name w:val="List Alpha"/>
    <w:basedOn w:val="List"/>
    <w:rsid w:val="00173E15"/>
    <w:pPr>
      <w:numPr>
        <w:numId w:val="9"/>
      </w:numPr>
    </w:pPr>
  </w:style>
  <w:style w:type="paragraph" w:customStyle="1" w:styleId="ListAlpha2">
    <w:name w:val="List Alpha 2"/>
    <w:basedOn w:val="List2"/>
    <w:rsid w:val="00173E15"/>
    <w:pPr>
      <w:numPr>
        <w:numId w:val="8"/>
      </w:numPr>
    </w:pPr>
  </w:style>
  <w:style w:type="paragraph" w:styleId="List2">
    <w:name w:val="List 2"/>
    <w:basedOn w:val="BodyText"/>
    <w:rsid w:val="00173E15"/>
    <w:pPr>
      <w:tabs>
        <w:tab w:val="left" w:pos="680"/>
      </w:tabs>
      <w:spacing w:before="60" w:after="60"/>
      <w:ind w:left="680" w:hanging="340"/>
    </w:pPr>
  </w:style>
  <w:style w:type="paragraph" w:styleId="List3">
    <w:name w:val="List 3"/>
    <w:basedOn w:val="BodyText"/>
    <w:rsid w:val="00173E15"/>
    <w:pPr>
      <w:tabs>
        <w:tab w:val="left" w:pos="1021"/>
      </w:tabs>
      <w:spacing w:before="60" w:after="60"/>
      <w:ind w:left="1020" w:hanging="340"/>
    </w:pPr>
  </w:style>
  <w:style w:type="paragraph" w:styleId="List4">
    <w:name w:val="List 4"/>
    <w:basedOn w:val="BodyText"/>
    <w:rsid w:val="00173E15"/>
    <w:pPr>
      <w:tabs>
        <w:tab w:val="left" w:pos="1361"/>
      </w:tabs>
      <w:spacing w:before="60" w:after="60"/>
      <w:ind w:left="1361" w:hanging="340"/>
    </w:pPr>
  </w:style>
  <w:style w:type="paragraph" w:styleId="List5">
    <w:name w:val="List 5"/>
    <w:basedOn w:val="BodyText"/>
    <w:rsid w:val="00173E15"/>
    <w:pPr>
      <w:tabs>
        <w:tab w:val="left" w:pos="1701"/>
      </w:tabs>
      <w:spacing w:before="60" w:after="60"/>
      <w:ind w:left="1701" w:hanging="340"/>
    </w:pPr>
  </w:style>
  <w:style w:type="paragraph" w:styleId="ListBullet3">
    <w:name w:val="List Bullet 3"/>
    <w:basedOn w:val="List3"/>
    <w:rsid w:val="00173E15"/>
    <w:pPr>
      <w:numPr>
        <w:numId w:val="14"/>
      </w:numPr>
      <w:tabs>
        <w:tab w:val="clear" w:pos="1021"/>
      </w:tabs>
      <w:ind w:left="1037" w:hanging="357"/>
    </w:pPr>
  </w:style>
  <w:style w:type="paragraph" w:styleId="ListBullet4">
    <w:name w:val="List Bullet 4"/>
    <w:basedOn w:val="List4"/>
    <w:rsid w:val="00173E15"/>
    <w:pPr>
      <w:numPr>
        <w:numId w:val="3"/>
      </w:numPr>
      <w:tabs>
        <w:tab w:val="clear" w:pos="1361"/>
      </w:tabs>
    </w:pPr>
  </w:style>
  <w:style w:type="paragraph" w:styleId="ListBullet5">
    <w:name w:val="List Bullet 5"/>
    <w:basedOn w:val="List5"/>
    <w:rsid w:val="00173E15"/>
    <w:pPr>
      <w:numPr>
        <w:numId w:val="4"/>
      </w:numPr>
    </w:pPr>
  </w:style>
  <w:style w:type="paragraph" w:styleId="ListContinue2">
    <w:name w:val="List Continue 2"/>
    <w:basedOn w:val="List2"/>
    <w:rsid w:val="00173E15"/>
    <w:pPr>
      <w:ind w:firstLine="0"/>
    </w:pPr>
  </w:style>
  <w:style w:type="paragraph" w:styleId="ListContinue3">
    <w:name w:val="List Continue 3"/>
    <w:basedOn w:val="List3"/>
    <w:rsid w:val="00173E15"/>
    <w:pPr>
      <w:ind w:left="1021" w:firstLine="0"/>
    </w:pPr>
  </w:style>
  <w:style w:type="paragraph" w:styleId="ListContinue4">
    <w:name w:val="List Continue 4"/>
    <w:basedOn w:val="List4"/>
    <w:rsid w:val="00173E15"/>
    <w:pPr>
      <w:ind w:firstLine="0"/>
    </w:pPr>
  </w:style>
  <w:style w:type="paragraph" w:styleId="ListContinue5">
    <w:name w:val="List Continue 5"/>
    <w:basedOn w:val="List5"/>
    <w:rsid w:val="00173E15"/>
    <w:pPr>
      <w:ind w:firstLine="0"/>
    </w:pPr>
  </w:style>
  <w:style w:type="paragraph" w:styleId="ListNumber3">
    <w:name w:val="List Number 3"/>
    <w:basedOn w:val="List3"/>
    <w:rsid w:val="00173E15"/>
    <w:pPr>
      <w:numPr>
        <w:numId w:val="5"/>
      </w:numPr>
    </w:pPr>
  </w:style>
  <w:style w:type="paragraph" w:styleId="ListNumber4">
    <w:name w:val="List Number 4"/>
    <w:basedOn w:val="List4"/>
    <w:rsid w:val="00173E15"/>
    <w:pPr>
      <w:numPr>
        <w:numId w:val="6"/>
      </w:numPr>
    </w:pPr>
  </w:style>
  <w:style w:type="paragraph" w:styleId="ListNumber5">
    <w:name w:val="List Number 5"/>
    <w:basedOn w:val="List5"/>
    <w:rsid w:val="00173E15"/>
    <w:pPr>
      <w:numPr>
        <w:numId w:val="7"/>
      </w:numPr>
    </w:pPr>
  </w:style>
  <w:style w:type="paragraph" w:styleId="BlockText">
    <w:name w:val="Block Text"/>
    <w:basedOn w:val="Normal"/>
    <w:rsid w:val="00173E15"/>
    <w:pPr>
      <w:spacing w:after="120"/>
      <w:ind w:left="1440" w:right="1440"/>
    </w:pPr>
  </w:style>
  <w:style w:type="character" w:customStyle="1" w:styleId="Subscript">
    <w:name w:val="Subscript"/>
    <w:basedOn w:val="DefaultParagraphFont"/>
    <w:rsid w:val="00173E15"/>
    <w:rPr>
      <w:sz w:val="16"/>
      <w:vertAlign w:val="subscript"/>
    </w:rPr>
  </w:style>
  <w:style w:type="character" w:customStyle="1" w:styleId="Superscript">
    <w:name w:val="Superscript"/>
    <w:basedOn w:val="DefaultParagraphFont"/>
    <w:rsid w:val="00173E15"/>
    <w:rPr>
      <w:sz w:val="16"/>
      <w:vertAlign w:val="superscript"/>
    </w:rPr>
  </w:style>
  <w:style w:type="character" w:customStyle="1" w:styleId="Symbols">
    <w:name w:val="Symbols"/>
    <w:basedOn w:val="DefaultParagraphFont"/>
    <w:rsid w:val="00173E15"/>
    <w:rPr>
      <w:rFonts w:ascii="Symbol" w:hAnsi="Symbol"/>
    </w:rPr>
  </w:style>
  <w:style w:type="character" w:customStyle="1" w:styleId="MenuOptions">
    <w:name w:val="Menu Options"/>
    <w:basedOn w:val="DefaultParagraphFont"/>
    <w:rsid w:val="00173E15"/>
    <w:rPr>
      <w:rFonts w:ascii="Arial Narrow" w:hAnsi="Arial Narrow"/>
      <w:smallCaps/>
    </w:rPr>
  </w:style>
  <w:style w:type="character" w:customStyle="1" w:styleId="Buttons">
    <w:name w:val="Buttons"/>
    <w:basedOn w:val="DefaultParagraphFont"/>
    <w:rsid w:val="00173E15"/>
    <w:rPr>
      <w:b/>
    </w:rPr>
  </w:style>
  <w:style w:type="character" w:customStyle="1" w:styleId="Underlined">
    <w:name w:val="Underlined"/>
    <w:basedOn w:val="DefaultParagraphFont"/>
    <w:rsid w:val="00173E15"/>
    <w:rPr>
      <w:u w:val="single"/>
    </w:rPr>
  </w:style>
  <w:style w:type="paragraph" w:customStyle="1" w:styleId="TableBodyTextRight">
    <w:name w:val="Table Body Text Right"/>
    <w:basedOn w:val="TableBodyText"/>
    <w:rsid w:val="00173E15"/>
    <w:pPr>
      <w:widowControl w:val="0"/>
      <w:autoSpaceDE w:val="0"/>
      <w:autoSpaceDN w:val="0"/>
      <w:adjustRightInd w:val="0"/>
      <w:jc w:val="right"/>
    </w:pPr>
    <w:rPr>
      <w:rFonts w:cs="Arial"/>
      <w:szCs w:val="18"/>
    </w:rPr>
  </w:style>
  <w:style w:type="paragraph" w:customStyle="1" w:styleId="CopyrightText">
    <w:name w:val="Copyright Text"/>
    <w:basedOn w:val="BodyText"/>
    <w:rsid w:val="00173E15"/>
    <w:rPr>
      <w:sz w:val="18"/>
    </w:rPr>
  </w:style>
  <w:style w:type="paragraph" w:customStyle="1" w:styleId="BodySmallRight">
    <w:name w:val="Body Small Right"/>
    <w:basedOn w:val="BodyTextRight"/>
    <w:rsid w:val="00173E15"/>
    <w:rPr>
      <w:sz w:val="18"/>
      <w:szCs w:val="18"/>
    </w:rPr>
  </w:style>
  <w:style w:type="paragraph" w:customStyle="1" w:styleId="MarginEdition">
    <w:name w:val="Margin Edition"/>
    <w:basedOn w:val="MarginNote"/>
    <w:rsid w:val="00173E15"/>
    <w:pPr>
      <w:spacing w:before="0" w:after="0"/>
    </w:pPr>
    <w:rPr>
      <w:rFonts w:ascii="Times New Roman" w:hAnsi="Times New Roman"/>
      <w:color w:val="999999"/>
    </w:rPr>
  </w:style>
  <w:style w:type="paragraph" w:customStyle="1" w:styleId="Spacer">
    <w:name w:val="Spacer"/>
    <w:basedOn w:val="Normal"/>
    <w:rsid w:val="00173E15"/>
    <w:rPr>
      <w:sz w:val="2"/>
      <w:szCs w:val="2"/>
    </w:rPr>
  </w:style>
  <w:style w:type="character" w:customStyle="1" w:styleId="Small">
    <w:name w:val="Small"/>
    <w:basedOn w:val="DefaultParagraphFont"/>
    <w:rsid w:val="00173E15"/>
    <w:rPr>
      <w:sz w:val="16"/>
    </w:rPr>
  </w:style>
  <w:style w:type="paragraph" w:customStyle="1" w:styleId="WideTable">
    <w:name w:val="Wide Table"/>
    <w:basedOn w:val="Normal"/>
    <w:rsid w:val="00173E15"/>
    <w:pPr>
      <w:ind w:left="-1418"/>
    </w:pPr>
    <w:rPr>
      <w:sz w:val="2"/>
      <w:szCs w:val="2"/>
    </w:rPr>
  </w:style>
  <w:style w:type="character" w:styleId="PageNumber">
    <w:name w:val="page number"/>
    <w:basedOn w:val="DefaultParagraphFont"/>
    <w:rsid w:val="00173E15"/>
  </w:style>
  <w:style w:type="paragraph" w:styleId="Quote">
    <w:name w:val="Quote"/>
    <w:basedOn w:val="Heading1"/>
    <w:link w:val="QuoteChar"/>
    <w:qFormat/>
    <w:rsid w:val="00173E15"/>
    <w:rPr>
      <w:b w:val="0"/>
      <w:sz w:val="72"/>
      <w:szCs w:val="72"/>
      <w:lang w:val="en-NZ"/>
    </w:rPr>
  </w:style>
  <w:style w:type="character" w:customStyle="1" w:styleId="QuoteChar">
    <w:name w:val="Quote Char"/>
    <w:basedOn w:val="DefaultParagraphFont"/>
    <w:link w:val="Quote"/>
    <w:rsid w:val="00173E1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3E15"/>
    <w:pPr>
      <w:pageBreakBefore/>
    </w:pPr>
  </w:style>
  <w:style w:type="paragraph" w:customStyle="1" w:styleId="Border">
    <w:name w:val="Border"/>
    <w:basedOn w:val="Normal"/>
    <w:qFormat/>
    <w:rsid w:val="00173E1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3E15"/>
    <w:rPr>
      <w:b/>
      <w:bCs/>
      <w:i/>
      <w:iCs/>
      <w:color w:val="auto"/>
    </w:rPr>
  </w:style>
  <w:style w:type="paragraph" w:styleId="IntenseQuote">
    <w:name w:val="Intense Quote"/>
    <w:basedOn w:val="Normal"/>
    <w:next w:val="Normal"/>
    <w:link w:val="IntenseQuoteChar"/>
    <w:uiPriority w:val="30"/>
    <w:qFormat/>
    <w:rsid w:val="00173E1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3E1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3E15"/>
    <w:rPr>
      <w:smallCaps/>
      <w:color w:val="auto"/>
      <w:u w:val="single"/>
    </w:rPr>
  </w:style>
  <w:style w:type="character" w:styleId="IntenseReference">
    <w:name w:val="Intense Reference"/>
    <w:basedOn w:val="DefaultParagraphFont"/>
    <w:uiPriority w:val="32"/>
    <w:qFormat/>
    <w:rsid w:val="00173E15"/>
    <w:rPr>
      <w:b/>
      <w:bCs/>
      <w:smallCaps/>
      <w:color w:val="auto"/>
      <w:spacing w:val="5"/>
      <w:u w:val="single"/>
    </w:rPr>
  </w:style>
  <w:style w:type="paragraph" w:customStyle="1" w:styleId="2ColumnHeading">
    <w:name w:val="2Column Heading"/>
    <w:basedOn w:val="BodyText"/>
    <w:qFormat/>
    <w:rsid w:val="00173E15"/>
    <w:pPr>
      <w:spacing w:after="60"/>
      <w:ind w:left="-2268"/>
    </w:pPr>
    <w:rPr>
      <w:b/>
    </w:rPr>
  </w:style>
  <w:style w:type="paragraph" w:customStyle="1" w:styleId="Heading1TOC">
    <w:name w:val="Heading1 TOC"/>
    <w:basedOn w:val="Normal"/>
    <w:qFormat/>
    <w:rsid w:val="00173E15"/>
    <w:pPr>
      <w:spacing w:before="240" w:after="120"/>
    </w:pPr>
    <w:rPr>
      <w:rFonts w:ascii="Times New Roman" w:hAnsi="Times New Roman"/>
      <w:b/>
      <w:sz w:val="32"/>
    </w:rPr>
  </w:style>
  <w:style w:type="paragraph" w:customStyle="1" w:styleId="Heading2TOC">
    <w:name w:val="Heading2 TOC"/>
    <w:basedOn w:val="Normal"/>
    <w:qFormat/>
    <w:rsid w:val="00173E15"/>
    <w:pPr>
      <w:spacing w:before="240" w:after="60"/>
    </w:pPr>
    <w:rPr>
      <w:rFonts w:ascii="Times New Roman" w:hAnsi="Times New Roman"/>
      <w:b/>
      <w:sz w:val="28"/>
    </w:rPr>
  </w:style>
  <w:style w:type="character" w:customStyle="1" w:styleId="Underline">
    <w:name w:val="Underline"/>
    <w:basedOn w:val="DefaultParagraphFont"/>
    <w:qFormat/>
    <w:rsid w:val="00173E15"/>
    <w:rPr>
      <w:u w:val="single"/>
    </w:rPr>
  </w:style>
  <w:style w:type="character" w:customStyle="1" w:styleId="BoldandItalics">
    <w:name w:val="Bold and Italics"/>
    <w:qFormat/>
    <w:rsid w:val="00173E15"/>
    <w:rPr>
      <w:b/>
      <w:i/>
      <w:u w:val="none"/>
    </w:rPr>
  </w:style>
  <w:style w:type="paragraph" w:styleId="BalloonText">
    <w:name w:val="Balloon Text"/>
    <w:basedOn w:val="Normal"/>
    <w:link w:val="BalloonTextChar"/>
    <w:rsid w:val="00173E15"/>
    <w:rPr>
      <w:rFonts w:ascii="Tahoma" w:hAnsi="Tahoma" w:cs="Tahoma"/>
      <w:sz w:val="16"/>
      <w:szCs w:val="16"/>
    </w:rPr>
  </w:style>
  <w:style w:type="character" w:customStyle="1" w:styleId="BalloonTextChar">
    <w:name w:val="Balloon Text Char"/>
    <w:basedOn w:val="DefaultParagraphFont"/>
    <w:link w:val="BalloonText"/>
    <w:rsid w:val="00173E1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3E1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3E1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3E15"/>
    <w:rPr>
      <w:b/>
      <w:color w:val="660033"/>
      <w:spacing w:val="0"/>
    </w:rPr>
  </w:style>
  <w:style w:type="paragraph" w:customStyle="1" w:styleId="Nameditemlist">
    <w:name w:val="Named item list"/>
    <w:basedOn w:val="BodyText"/>
    <w:qFormat/>
    <w:rsid w:val="00173E15"/>
    <w:pPr>
      <w:tabs>
        <w:tab w:val="left" w:pos="2835"/>
      </w:tabs>
      <w:ind w:left="2835" w:hanging="2835"/>
    </w:pPr>
  </w:style>
  <w:style w:type="paragraph" w:customStyle="1" w:styleId="BodyTextnopadding">
    <w:name w:val="Body Text no padding"/>
    <w:basedOn w:val="BodyText"/>
    <w:qFormat/>
    <w:rsid w:val="00173E15"/>
    <w:pPr>
      <w:spacing w:before="0" w:after="0"/>
    </w:pPr>
  </w:style>
  <w:style w:type="paragraph" w:customStyle="1" w:styleId="BodyTextBold">
    <w:name w:val="Body Text Bold"/>
    <w:basedOn w:val="BodyText"/>
    <w:qFormat/>
    <w:rsid w:val="00173E15"/>
    <w:rPr>
      <w:b/>
    </w:rPr>
  </w:style>
  <w:style w:type="character" w:styleId="Hyperlink">
    <w:name w:val="Hyperlink"/>
    <w:basedOn w:val="DefaultParagraphFont"/>
    <w:uiPriority w:val="99"/>
    <w:unhideWhenUsed/>
    <w:rsid w:val="00B832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1307</Words>
  <Characters>8199</Characters>
  <Application>Microsoft Office Word</Application>
  <DocSecurity>0</DocSecurity>
  <Lines>303</Lines>
  <Paragraphs>186</Paragraphs>
  <ScaleCrop>false</ScaleCrop>
  <Company>Author-it Software Corporation Ltd.</Company>
  <LinksUpToDate>false</LinksUpToDate>
  <CharactersWithSpaces>9320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MSFGG3001 Store and handle glass</dc:title>
  <dc:subject>Approved</dc:subject>
  <dc:creator>Skills Insight</dc:creator>
  <cp:keywords>Release: 1</cp:keywords>
  <dc:description>Review Date: 12 April 2008</dc:description>
  <cp:lastModifiedBy>HSD_TPCMSd.prod</cp:lastModifiedBy>
  <cp:revision>3</cp:revision>
  <dcterms:created xsi:type="dcterms:W3CDTF">2025-03-01T14:33:00Z</dcterms:created>
  <dcterms:modified xsi:type="dcterms:W3CDTF">2025-03-01T14:33:00Z</dcterms:modified>
</cp:coreProperties>
</file>