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A1F" w:rsidP="00994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MSFGG2016 Assemble glazing products</w:t>
      </w:r>
      <w:r>
        <w:fldChar w:fldCharType="end"/>
      </w:r>
    </w:p>
    <w:p w:rsidR="00994A1F" w:rsidP="00994A1F">
      <w:pPr>
        <w:pStyle w:val="Version"/>
        <w:sectPr w:rsidSect="00AE6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F76" w:rsidP="00AE6F76">
      <w:pPr>
        <w:pStyle w:val="SuperHeading"/>
      </w:pPr>
      <w:r w:rsidRPr="00AE6F76">
        <w:t>Assessment Requirements for MSFGG2016 Assemble glazing products</w:t>
      </w:r>
    </w:p>
    <w:p w:rsidR="00000000" w:rsidRPr="00AE6F76" w:rsidP="00AE6F76">
      <w:pPr>
        <w:pStyle w:val="Heading1"/>
      </w:pPr>
      <w:bookmarkStart w:id="1" w:name="O_1014629"/>
      <w:bookmarkEnd w:id="1"/>
      <w:r w:rsidRPr="00AE6F76">
        <w:t>Modification History</w:t>
      </w:r>
    </w:p>
    <w:p w:rsidR="00994A1F" w:rsidP="00994A1F">
      <w:pPr>
        <w:pStyle w:val="BodyText"/>
      </w:pPr>
      <w:r w:rsidRPr="00AE6F76">
        <w:t xml:space="preserve">Release 1. Supersedes and is not equivalent to MSFGG2009 Fabricate and assemble frames. </w:t>
      </w:r>
    </w:p>
    <w:p w:rsidR="00000000" w:rsidRPr="00AE6F76" w:rsidP="00AE6F76">
      <w:pPr>
        <w:pStyle w:val="Heading1"/>
      </w:pPr>
      <w:bookmarkStart w:id="2" w:name="O_1014632"/>
      <w:bookmarkEnd w:id="2"/>
      <w:r w:rsidRPr="00AE6F76">
        <w:t>Performance Evidence</w:t>
      </w:r>
    </w:p>
    <w:p w:rsidR="00000000" w:rsidRPr="00AE6F76" w:rsidP="00994A1F">
      <w:pPr>
        <w:pStyle w:val="BodyText"/>
      </w:pPr>
      <w:r w:rsidRPr="00AE6F76">
        <w:t xml:space="preserve">There must be evidence the candidate has completed the tasks outlined in the elements and performance criteria of this unit, and: </w:t>
      </w:r>
    </w:p>
    <w:p w:rsidR="00000000" w:rsidRPr="00AE6F76" w:rsidP="00AE6F76">
      <w:pPr>
        <w:pStyle w:val="ListBullet"/>
      </w:pPr>
      <w:r w:rsidRPr="00AE6F76">
        <w:t>assembled 3 of the following types of glazing products with relevant hardware in accordance with job requirements:</w:t>
      </w:r>
    </w:p>
    <w:p w:rsidR="00000000" w:rsidRPr="00AE6F76" w:rsidP="00AE6F76">
      <w:pPr>
        <w:pStyle w:val="ListBullet2"/>
      </w:pPr>
      <w:r w:rsidRPr="00AE6F76">
        <w:t>double h</w:t>
      </w:r>
      <w:r w:rsidRPr="00AE6F76">
        <w:t>ung</w:t>
      </w:r>
    </w:p>
    <w:p w:rsidR="00000000" w:rsidRPr="00AE6F76" w:rsidP="00AE6F76">
      <w:pPr>
        <w:pStyle w:val="ListBullet2"/>
      </w:pPr>
      <w:r w:rsidRPr="00AE6F76">
        <w:t>casement</w:t>
      </w:r>
    </w:p>
    <w:p w:rsidR="00000000" w:rsidRPr="00AE6F76" w:rsidP="00AE6F76">
      <w:pPr>
        <w:pStyle w:val="ListBullet2"/>
      </w:pPr>
      <w:r w:rsidRPr="00AE6F76">
        <w:t>sashless sliding pack</w:t>
      </w:r>
    </w:p>
    <w:p w:rsidR="00000000" w:rsidRPr="00AE6F76" w:rsidP="00AE6F76">
      <w:pPr>
        <w:pStyle w:val="ListBullet2"/>
      </w:pPr>
      <w:r w:rsidRPr="00AE6F76">
        <w:t>showerscreen framed or semi-frameless</w:t>
      </w:r>
    </w:p>
    <w:p w:rsidR="00000000" w:rsidRPr="00AE6F76" w:rsidP="00AE6F76">
      <w:pPr>
        <w:pStyle w:val="ListBullet2"/>
      </w:pPr>
      <w:r w:rsidRPr="00AE6F76">
        <w:t>sliding</w:t>
      </w:r>
    </w:p>
    <w:p w:rsidR="00000000" w:rsidRPr="00AE6F76" w:rsidP="00AE6F76">
      <w:pPr>
        <w:pStyle w:val="ListBullet2"/>
      </w:pPr>
      <w:r w:rsidRPr="00AE6F76">
        <w:t>wardrobe</w:t>
      </w:r>
    </w:p>
    <w:p w:rsidR="00000000" w:rsidRPr="00AE6F76" w:rsidP="00AE6F76">
      <w:pPr>
        <w:pStyle w:val="ListBullet"/>
      </w:pPr>
      <w:r w:rsidRPr="00AE6F76">
        <w:t>installed all of the following component hardware to products (this may require product in addition to those above):</w:t>
      </w:r>
    </w:p>
    <w:p w:rsidR="00000000" w:rsidRPr="00AE6F76" w:rsidP="00AE6F76">
      <w:pPr>
        <w:pStyle w:val="ListBullet2"/>
      </w:pPr>
      <w:r w:rsidRPr="00AE6F76">
        <w:t xml:space="preserve">weather seals </w:t>
      </w:r>
    </w:p>
    <w:p w:rsidR="00000000" w:rsidRPr="00AE6F76" w:rsidP="00AE6F76">
      <w:pPr>
        <w:pStyle w:val="ListBullet2"/>
      </w:pPr>
      <w:r w:rsidRPr="00AE6F76">
        <w:t xml:space="preserve">wheels </w:t>
      </w:r>
    </w:p>
    <w:p w:rsidR="00000000" w:rsidRPr="00AE6F76" w:rsidP="00AE6F76">
      <w:pPr>
        <w:pStyle w:val="ListBullet2"/>
      </w:pPr>
      <w:r w:rsidRPr="00AE6F76">
        <w:t xml:space="preserve">stays </w:t>
      </w:r>
    </w:p>
    <w:p w:rsidR="00000000" w:rsidRPr="00AE6F76" w:rsidP="00AE6F76">
      <w:pPr>
        <w:pStyle w:val="ListBullet2"/>
      </w:pPr>
      <w:r w:rsidRPr="00AE6F76">
        <w:t xml:space="preserve">hinges </w:t>
      </w:r>
    </w:p>
    <w:p w:rsidR="00000000" w:rsidRPr="00AE6F76" w:rsidP="00AE6F76">
      <w:pPr>
        <w:pStyle w:val="ListBullet2"/>
      </w:pPr>
      <w:r w:rsidRPr="00AE6F76">
        <w:t xml:space="preserve">guides  </w:t>
      </w:r>
    </w:p>
    <w:p w:rsidR="00994A1F" w:rsidP="00AE6F76">
      <w:pPr>
        <w:pStyle w:val="ListBullet2"/>
      </w:pPr>
      <w:r w:rsidRPr="00AE6F76">
        <w:t>locks.</w:t>
      </w:r>
    </w:p>
    <w:p w:rsidR="00994A1F" w:rsidP="00AE6F76">
      <w:pPr>
        <w:pStyle w:val="ListBullet2"/>
      </w:pPr>
    </w:p>
    <w:p w:rsidR="00000000" w:rsidRPr="00AE6F76" w:rsidP="00AE6F76">
      <w:pPr>
        <w:pStyle w:val="Heading1"/>
      </w:pPr>
      <w:bookmarkStart w:id="3" w:name="O_1014631"/>
      <w:bookmarkEnd w:id="3"/>
      <w:r w:rsidRPr="00AE6F76">
        <w:t>Knowledge Evidence</w:t>
      </w:r>
    </w:p>
    <w:p w:rsidR="00000000" w:rsidRPr="00AE6F76" w:rsidP="00994A1F">
      <w:pPr>
        <w:pStyle w:val="Heading3"/>
      </w:pPr>
      <w:r w:rsidRPr="00AE6F76">
        <w:t>There must be evidence the candidate has knowledge of</w:t>
      </w:r>
    </w:p>
    <w:p w:rsidR="00000000" w:rsidRPr="00AE6F76" w:rsidP="00AE6F76">
      <w:pPr>
        <w:pStyle w:val="ListBullet"/>
      </w:pPr>
      <w:r w:rsidRPr="00AE6F76">
        <w:t xml:space="preserve">Australian Standards AS 2047: (Sections 6, 7 and 8) </w:t>
      </w:r>
    </w:p>
    <w:p w:rsidR="00000000" w:rsidRPr="00AE6F76" w:rsidP="00AE6F76">
      <w:pPr>
        <w:pStyle w:val="ListBullet"/>
      </w:pPr>
      <w:r w:rsidRPr="00AE6F76">
        <w:t>glazing product assembly:</w:t>
      </w:r>
    </w:p>
    <w:p w:rsidR="00000000" w:rsidRPr="00AE6F76" w:rsidP="00AE6F76">
      <w:pPr>
        <w:pStyle w:val="ListBullet2"/>
      </w:pPr>
      <w:r w:rsidRPr="00AE6F76">
        <w:t xml:space="preserve">workplace safety system requirements </w:t>
      </w:r>
    </w:p>
    <w:p w:rsidR="00000000" w:rsidRPr="00AE6F76" w:rsidP="00AE6F76">
      <w:pPr>
        <w:pStyle w:val="ListBullet2"/>
      </w:pPr>
      <w:r w:rsidRPr="00AE6F76">
        <w:t xml:space="preserve">work flow </w:t>
      </w:r>
    </w:p>
    <w:p w:rsidR="00000000" w:rsidRPr="00AE6F76" w:rsidP="00AE6F76">
      <w:pPr>
        <w:pStyle w:val="ListBullet2"/>
      </w:pPr>
      <w:r w:rsidRPr="00AE6F76">
        <w:t>characteristics, uses and limitations of different products</w:t>
      </w:r>
    </w:p>
    <w:p w:rsidR="00000000" w:rsidRPr="00AE6F76" w:rsidP="00AE6F76">
      <w:pPr>
        <w:pStyle w:val="ListBullet2"/>
      </w:pPr>
      <w:r w:rsidRPr="00AE6F76">
        <w:t xml:space="preserve">how to interpret processing requirements from different types of work documentation </w:t>
      </w:r>
    </w:p>
    <w:p w:rsidR="00000000" w:rsidRPr="00AE6F76" w:rsidP="00AE6F76">
      <w:pPr>
        <w:pStyle w:val="ListBullet2"/>
      </w:pPr>
      <w:r w:rsidRPr="00AE6F76">
        <w:t xml:space="preserve">types, characteristics, safe use, maintenance and limitations of fabrication tools and equipment: </w:t>
      </w:r>
    </w:p>
    <w:p w:rsidR="00000000" w:rsidRPr="00AE6F76" w:rsidP="00AE6F76">
      <w:pPr>
        <w:pStyle w:val="ListBullet3"/>
      </w:pPr>
      <w:r w:rsidRPr="00AE6F76">
        <w:t>assembly be</w:t>
      </w:r>
      <w:r w:rsidRPr="00AE6F76">
        <w:t>nches</w:t>
      </w:r>
    </w:p>
    <w:p w:rsidR="00000000" w:rsidRPr="00AE6F76" w:rsidP="00AE6F76">
      <w:pPr>
        <w:pStyle w:val="ListBullet3"/>
      </w:pPr>
      <w:r w:rsidRPr="00AE6F76">
        <w:t>copy routers</w:t>
      </w:r>
    </w:p>
    <w:p w:rsidR="00000000" w:rsidRPr="00AE6F76" w:rsidP="00AE6F76">
      <w:pPr>
        <w:pStyle w:val="ListBullet3"/>
      </w:pPr>
      <w:r w:rsidRPr="00AE6F76">
        <w:t>electric and pneumatic powered drills and screwdrivers</w:t>
      </w:r>
    </w:p>
    <w:p w:rsidR="00000000" w:rsidRPr="00AE6F76" w:rsidP="00AE6F76">
      <w:pPr>
        <w:pStyle w:val="ListBullet3"/>
      </w:pPr>
      <w:r w:rsidRPr="00AE6F76">
        <w:t>end millers</w:t>
      </w:r>
    </w:p>
    <w:p w:rsidR="00000000" w:rsidRPr="00AE6F76" w:rsidP="00AE6F76">
      <w:pPr>
        <w:pStyle w:val="ListBullet3"/>
      </w:pPr>
      <w:r w:rsidRPr="00AE6F76">
        <w:t>frame and sash tooling</w:t>
      </w:r>
    </w:p>
    <w:p w:rsidR="00000000" w:rsidRPr="00AE6F76" w:rsidP="00AE6F76">
      <w:pPr>
        <w:pStyle w:val="ListBullet3"/>
      </w:pPr>
      <w:r w:rsidRPr="00AE6F76">
        <w:t>hand tools</w:t>
      </w:r>
    </w:p>
    <w:p w:rsidR="00000000" w:rsidRPr="00AE6F76" w:rsidP="00AE6F76">
      <w:pPr>
        <w:pStyle w:val="ListBullet3"/>
      </w:pPr>
      <w:r w:rsidRPr="00AE6F76">
        <w:t>hydraulic and manual presses</w:t>
      </w:r>
    </w:p>
    <w:p w:rsidR="00000000" w:rsidRPr="00AE6F76" w:rsidP="00AE6F76">
      <w:pPr>
        <w:pStyle w:val="ListBullet3"/>
      </w:pPr>
      <w:r w:rsidRPr="00AE6F76">
        <w:t xml:space="preserve">pleuws guns </w:t>
      </w:r>
    </w:p>
    <w:p w:rsidR="00000000" w:rsidRPr="00AE6F76" w:rsidP="00AE6F76">
      <w:pPr>
        <w:pStyle w:val="ListBullet3"/>
      </w:pPr>
      <w:r w:rsidRPr="00AE6F76">
        <w:t>pneumatic</w:t>
      </w:r>
    </w:p>
    <w:p w:rsidR="00000000" w:rsidRPr="00AE6F76" w:rsidP="00AE6F76">
      <w:pPr>
        <w:pStyle w:val="ListBullet3"/>
      </w:pPr>
      <w:r w:rsidRPr="00AE6F76">
        <w:t>pop rivet guns</w:t>
      </w:r>
    </w:p>
    <w:p w:rsidR="00000000" w:rsidRPr="00AE6F76" w:rsidP="00AE6F76">
      <w:pPr>
        <w:pStyle w:val="ListBullet3"/>
      </w:pPr>
      <w:r w:rsidRPr="00AE6F76">
        <w:t>saws, including drop and upcut</w:t>
      </w:r>
    </w:p>
    <w:p w:rsidR="00000000" w:rsidRPr="00AE6F76" w:rsidP="00AE6F76">
      <w:pPr>
        <w:pStyle w:val="ListBullet2"/>
      </w:pPr>
      <w:r w:rsidRPr="00AE6F76">
        <w:t>type, characteristics, uses and limitations of other materials used in assembly:</w:t>
      </w:r>
    </w:p>
    <w:p w:rsidR="00000000" w:rsidRPr="00AE6F76" w:rsidP="00AE6F76">
      <w:pPr>
        <w:pStyle w:val="ListBullet3"/>
      </w:pPr>
      <w:r w:rsidRPr="00AE6F76">
        <w:t>fasteners (screws and pop rivets)</w:t>
      </w:r>
    </w:p>
    <w:p w:rsidR="00000000" w:rsidRPr="00AE6F76" w:rsidP="00AE6F76">
      <w:pPr>
        <w:pStyle w:val="ListBullet3"/>
      </w:pPr>
      <w:r w:rsidRPr="00AE6F76">
        <w:t xml:space="preserve">gaskets </w:t>
      </w:r>
    </w:p>
    <w:p w:rsidR="00000000" w:rsidRPr="00AE6F76" w:rsidP="00AE6F76">
      <w:pPr>
        <w:pStyle w:val="ListBullet3"/>
      </w:pPr>
      <w:r w:rsidRPr="00AE6F76">
        <w:t>hardware</w:t>
      </w:r>
    </w:p>
    <w:p w:rsidR="00000000" w:rsidRPr="00AE6F76" w:rsidP="00AE6F76">
      <w:pPr>
        <w:pStyle w:val="ListBullet3"/>
      </w:pPr>
      <w:r w:rsidRPr="00AE6F76">
        <w:t>plastics</w:t>
      </w:r>
    </w:p>
    <w:p w:rsidR="00000000" w:rsidRPr="00AE6F76" w:rsidP="00AE6F76">
      <w:pPr>
        <w:pStyle w:val="ListBullet3"/>
      </w:pPr>
      <w:r w:rsidRPr="00AE6F76">
        <w:t>sealants</w:t>
      </w:r>
    </w:p>
    <w:p w:rsidR="00000000" w:rsidRPr="00AE6F76" w:rsidP="00AE6F76">
      <w:pPr>
        <w:pStyle w:val="ListBullet3"/>
      </w:pPr>
      <w:r w:rsidRPr="00AE6F76">
        <w:t xml:space="preserve">tapes </w:t>
      </w:r>
    </w:p>
    <w:p w:rsidR="00000000" w:rsidRPr="00AE6F76" w:rsidP="00AE6F76">
      <w:pPr>
        <w:pStyle w:val="ListBullet3"/>
      </w:pPr>
      <w:r w:rsidRPr="00AE6F76">
        <w:t>timber reveals</w:t>
      </w:r>
    </w:p>
    <w:p w:rsidR="00000000" w:rsidRPr="00AE6F76" w:rsidP="00AE6F76">
      <w:pPr>
        <w:pStyle w:val="ListBullet3"/>
      </w:pPr>
      <w:r w:rsidRPr="00AE6F76">
        <w:t>vinyl</w:t>
      </w:r>
    </w:p>
    <w:p w:rsidR="00000000" w:rsidRPr="00AE6F76" w:rsidP="00AE6F76">
      <w:pPr>
        <w:pStyle w:val="ListBullet2"/>
      </w:pPr>
      <w:r w:rsidRPr="00AE6F76">
        <w:t>techniques for product assembly, the types of problems that may occur and h</w:t>
      </w:r>
      <w:r w:rsidRPr="00AE6F76">
        <w:t>ow to avoid and respond</w:t>
      </w:r>
    </w:p>
    <w:p w:rsidR="00000000" w:rsidRPr="00AE6F76" w:rsidP="00AE6F76">
      <w:pPr>
        <w:pStyle w:val="ListBullet2"/>
      </w:pPr>
      <w:r w:rsidRPr="00AE6F76">
        <w:t>quality indicators for assembled products</w:t>
      </w:r>
    </w:p>
    <w:p w:rsidR="00994A1F" w:rsidP="00AE6F76">
      <w:pPr>
        <w:pStyle w:val="ListBullet"/>
      </w:pPr>
      <w:r w:rsidRPr="00AE6F76">
        <w:t>procedures for the recording, reporting and maintenance of workplace records and information.</w:t>
      </w:r>
    </w:p>
    <w:p w:rsidR="00994A1F" w:rsidP="00AE6F76">
      <w:pPr>
        <w:pStyle w:val="ListBullet"/>
      </w:pPr>
    </w:p>
    <w:p w:rsidR="00000000" w:rsidRPr="00AE6F76" w:rsidP="00AE6F76">
      <w:pPr>
        <w:pStyle w:val="Heading1"/>
      </w:pPr>
      <w:bookmarkStart w:id="4" w:name="O_1014630"/>
      <w:bookmarkEnd w:id="4"/>
      <w:r w:rsidRPr="00AE6F76">
        <w:t>Assessment Conditions</w:t>
      </w:r>
    </w:p>
    <w:p w:rsidR="00000000" w:rsidRPr="00AE6F76" w:rsidP="00994A1F">
      <w:pPr>
        <w:pStyle w:val="BodyText"/>
      </w:pPr>
      <w:r w:rsidRPr="00AE6F7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E6F76" w:rsidP="00AE6F76">
      <w:pPr>
        <w:pStyle w:val="ListBullet"/>
      </w:pPr>
      <w:r w:rsidRPr="00AE6F76">
        <w:t xml:space="preserve">use of suitable facilities, equipment and resources, including: </w:t>
      </w:r>
    </w:p>
    <w:p w:rsidR="00000000" w:rsidRPr="00AE6F76" w:rsidP="00AE6F76">
      <w:pPr>
        <w:pStyle w:val="ListBullet2"/>
      </w:pPr>
      <w:r w:rsidRPr="00AE6F76">
        <w:t>product materials and components</w:t>
      </w:r>
    </w:p>
    <w:p w:rsidR="00000000" w:rsidRPr="00AE6F76" w:rsidP="00AE6F76">
      <w:pPr>
        <w:pStyle w:val="ListBullet2"/>
      </w:pPr>
      <w:r w:rsidRPr="00AE6F76">
        <w:t xml:space="preserve">equipment, tools and materials to complete tasks in the Performance Evidence </w:t>
      </w:r>
    </w:p>
    <w:p w:rsidR="00000000" w:rsidRPr="00AE6F76" w:rsidP="00AE6F76">
      <w:pPr>
        <w:pStyle w:val="ListBullet2"/>
      </w:pPr>
      <w:r w:rsidRPr="00AE6F76">
        <w:t>safety and personal protective equipment</w:t>
      </w:r>
    </w:p>
    <w:p w:rsidR="00000000" w:rsidRPr="00AE6F76" w:rsidP="00AE6F76">
      <w:pPr>
        <w:pStyle w:val="ListBullet2"/>
      </w:pPr>
      <w:r w:rsidRPr="00AE6F76">
        <w:t xml:space="preserve">work orders </w:t>
      </w:r>
    </w:p>
    <w:p w:rsidR="00000000" w:rsidRPr="00AE6F76" w:rsidP="00AE6F76">
      <w:pPr>
        <w:pStyle w:val="ListBullet2"/>
      </w:pPr>
      <w:r w:rsidRPr="00AE6F76">
        <w:t>workplace procedures.</w:t>
      </w:r>
    </w:p>
    <w:p w:rsidR="00994A1F" w:rsidP="00994A1F">
      <w:pPr>
        <w:pStyle w:val="BodyText"/>
      </w:pPr>
      <w:r w:rsidRPr="00AE6F76">
        <w:t>Assessors must satisfy the NVR/AQTF mandatory competency requirements</w:t>
      </w:r>
      <w:r w:rsidRPr="00AE6F76">
        <w:t xml:space="preserve"> for assessors.</w:t>
      </w:r>
    </w:p>
    <w:p w:rsidR="00000000" w:rsidRPr="00AE6F76" w:rsidP="00AE6F76">
      <w:pPr>
        <w:pStyle w:val="Heading1"/>
      </w:pPr>
      <w:bookmarkStart w:id="5" w:name="O_1014628"/>
      <w:bookmarkEnd w:id="5"/>
      <w:r w:rsidRPr="00AE6F76">
        <w:t>Links</w:t>
      </w:r>
    </w:p>
    <w:p w:rsidR="00000000" w:rsidRPr="00AE6F76" w:rsidP="00994A1F">
      <w:pPr>
        <w:pStyle w:val="BodyText"/>
      </w:pPr>
      <w:r w:rsidRPr="00AE6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B295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E6F76" w:rsidP="00AE6F76"/>
    <w:sectPr w:rsidSect="00AE6F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6" w:rsidRPr="00994A1F" w:rsidP="00994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F" w:rsidP="00AE6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A1F" w:rsidP="00AE6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4A1F" w:rsidP="00AE6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F76" w:rsidRPr="00994A1F" w:rsidP="00994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F" w:rsidRPr="002D2AF8" w:rsidP="00AE6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MSFGG2016 Assemble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94A1F" w:rsidP="00AE6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FA1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67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C0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F76"/>
  </w:style>
  <w:style w:type="character" w:customStyle="1" w:styleId="Heading1Char">
    <w:name w:val="Heading 1 Char"/>
    <w:basedOn w:val="DefaultParagraphFont"/>
    <w:link w:val="Heading1"/>
    <w:rsid w:val="00AE6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F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F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F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6F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6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F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F76"/>
    <w:rPr>
      <w:b/>
      <w:spacing w:val="0"/>
    </w:rPr>
  </w:style>
  <w:style w:type="paragraph" w:customStyle="1" w:styleId="SuperTitle">
    <w:name w:val="SuperTitle"/>
    <w:basedOn w:val="Title"/>
    <w:rsid w:val="00AE6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F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F76"/>
    <w:rPr>
      <w:i/>
    </w:rPr>
  </w:style>
  <w:style w:type="paragraph" w:styleId="Caption">
    <w:name w:val="caption"/>
    <w:basedOn w:val="BodyText"/>
    <w:next w:val="Normal"/>
    <w:qFormat/>
    <w:rsid w:val="00AE6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F76"/>
  </w:style>
  <w:style w:type="paragraph" w:styleId="TableofFigures">
    <w:name w:val="table of figures"/>
    <w:basedOn w:val="Normal"/>
    <w:next w:val="Normal"/>
    <w:semiHidden/>
    <w:rsid w:val="00AE6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F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6F76"/>
    <w:rPr>
      <w:rFonts w:ascii="Wingdings" w:hAnsi="Wingdings"/>
    </w:rPr>
  </w:style>
  <w:style w:type="paragraph" w:customStyle="1" w:styleId="TableHeading">
    <w:name w:val="Table Heading"/>
    <w:basedOn w:val="HeadingBase"/>
    <w:rsid w:val="00AE6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F76"/>
    <w:rPr>
      <w:color w:val="0033CC"/>
      <w:u w:val="none"/>
    </w:rPr>
  </w:style>
  <w:style w:type="paragraph" w:customStyle="1" w:styleId="BodyTextRight">
    <w:name w:val="Body Text Right"/>
    <w:basedOn w:val="BodyText"/>
    <w:rsid w:val="00AE6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F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F76"/>
    <w:rPr>
      <w:sz w:val="32"/>
    </w:rPr>
  </w:style>
  <w:style w:type="paragraph" w:customStyle="1" w:styleId="HeadingProcedure">
    <w:name w:val="Heading Procedure"/>
    <w:basedOn w:val="HeadingBase"/>
    <w:next w:val="Normal"/>
    <w:rsid w:val="00AE6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F76"/>
    <w:pPr>
      <w:spacing w:before="60" w:after="60"/>
    </w:pPr>
  </w:style>
  <w:style w:type="paragraph" w:styleId="ListContinue">
    <w:name w:val="List Continue"/>
    <w:basedOn w:val="List"/>
    <w:rsid w:val="00AE6F76"/>
    <w:pPr>
      <w:ind w:firstLine="0"/>
    </w:pPr>
  </w:style>
  <w:style w:type="paragraph" w:customStyle="1" w:styleId="ListNote">
    <w:name w:val="List Note"/>
    <w:basedOn w:val="List"/>
    <w:rsid w:val="00AE6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F76"/>
    <w:rPr>
      <w:rFonts w:ascii="Courier New" w:hAnsi="Courier New"/>
    </w:rPr>
  </w:style>
  <w:style w:type="paragraph" w:customStyle="1" w:styleId="NoteBullet">
    <w:name w:val="Note Bullet"/>
    <w:basedOn w:val="Note"/>
    <w:rsid w:val="00AE6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F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6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F76"/>
    <w:rPr>
      <w:b/>
      <w:smallCaps/>
    </w:rPr>
  </w:style>
  <w:style w:type="paragraph" w:customStyle="1" w:styleId="TableListNumber">
    <w:name w:val="Table List Number"/>
    <w:basedOn w:val="ListNumber"/>
    <w:rsid w:val="00AE6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F76"/>
    <w:pPr>
      <w:numPr>
        <w:numId w:val="10"/>
      </w:numPr>
    </w:pPr>
  </w:style>
  <w:style w:type="paragraph" w:customStyle="1" w:styleId="ListAlpha2">
    <w:name w:val="List Alpha 2"/>
    <w:basedOn w:val="List2"/>
    <w:rsid w:val="00AE6F76"/>
    <w:pPr>
      <w:numPr>
        <w:numId w:val="9"/>
      </w:numPr>
    </w:pPr>
  </w:style>
  <w:style w:type="paragraph" w:styleId="List2">
    <w:name w:val="List 2"/>
    <w:basedOn w:val="BodyText"/>
    <w:rsid w:val="00AE6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F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6F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6F76"/>
    <w:pPr>
      <w:numPr>
        <w:numId w:val="5"/>
      </w:numPr>
    </w:pPr>
  </w:style>
  <w:style w:type="paragraph" w:styleId="ListContinue2">
    <w:name w:val="List Continue 2"/>
    <w:basedOn w:val="List2"/>
    <w:rsid w:val="00AE6F76"/>
    <w:pPr>
      <w:ind w:firstLine="0"/>
    </w:pPr>
  </w:style>
  <w:style w:type="paragraph" w:styleId="ListContinue3">
    <w:name w:val="List Continue 3"/>
    <w:basedOn w:val="List3"/>
    <w:rsid w:val="00AE6F76"/>
    <w:pPr>
      <w:ind w:left="1021" w:firstLine="0"/>
    </w:pPr>
  </w:style>
  <w:style w:type="paragraph" w:styleId="ListContinue4">
    <w:name w:val="List Continue 4"/>
    <w:basedOn w:val="List4"/>
    <w:rsid w:val="00AE6F76"/>
    <w:pPr>
      <w:ind w:firstLine="0"/>
    </w:pPr>
  </w:style>
  <w:style w:type="paragraph" w:styleId="ListContinue5">
    <w:name w:val="List Continue 5"/>
    <w:basedOn w:val="List5"/>
    <w:rsid w:val="00AE6F76"/>
    <w:pPr>
      <w:ind w:firstLine="0"/>
    </w:pPr>
  </w:style>
  <w:style w:type="paragraph" w:styleId="ListNumber3">
    <w:name w:val="List Number 3"/>
    <w:basedOn w:val="List3"/>
    <w:rsid w:val="00AE6F76"/>
    <w:pPr>
      <w:numPr>
        <w:numId w:val="6"/>
      </w:numPr>
    </w:pPr>
  </w:style>
  <w:style w:type="paragraph" w:styleId="ListNumber4">
    <w:name w:val="List Number 4"/>
    <w:basedOn w:val="List4"/>
    <w:rsid w:val="00AE6F76"/>
    <w:pPr>
      <w:numPr>
        <w:numId w:val="7"/>
      </w:numPr>
    </w:pPr>
  </w:style>
  <w:style w:type="paragraph" w:styleId="ListNumber5">
    <w:name w:val="List Number 5"/>
    <w:basedOn w:val="List5"/>
    <w:rsid w:val="00AE6F76"/>
    <w:pPr>
      <w:numPr>
        <w:numId w:val="8"/>
      </w:numPr>
    </w:pPr>
  </w:style>
  <w:style w:type="paragraph" w:styleId="BlockText">
    <w:name w:val="Block Text"/>
    <w:basedOn w:val="Normal"/>
    <w:rsid w:val="00AE6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F76"/>
    <w:rPr>
      <w:sz w:val="16"/>
      <w:vertAlign w:val="superscript"/>
    </w:rPr>
  </w:style>
  <w:style w:type="character" w:customStyle="1" w:styleId="Symbols">
    <w:name w:val="Symbols"/>
    <w:basedOn w:val="DefaultParagraphFont"/>
    <w:rsid w:val="00AE6F76"/>
    <w:rPr>
      <w:rFonts w:ascii="Symbol" w:hAnsi="Symbol"/>
    </w:rPr>
  </w:style>
  <w:style w:type="character" w:customStyle="1" w:styleId="MenuOptions">
    <w:name w:val="Menu Options"/>
    <w:basedOn w:val="DefaultParagraphFont"/>
    <w:rsid w:val="00AE6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F76"/>
    <w:rPr>
      <w:b/>
    </w:rPr>
  </w:style>
  <w:style w:type="character" w:customStyle="1" w:styleId="Underlined">
    <w:name w:val="Underlined"/>
    <w:basedOn w:val="DefaultParagraphFont"/>
    <w:rsid w:val="00AE6F76"/>
    <w:rPr>
      <w:u w:val="single"/>
    </w:rPr>
  </w:style>
  <w:style w:type="paragraph" w:customStyle="1" w:styleId="TableBodyTextRight">
    <w:name w:val="Table Body Text Right"/>
    <w:basedOn w:val="TableBodyText"/>
    <w:rsid w:val="00AE6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F76"/>
    <w:rPr>
      <w:sz w:val="18"/>
    </w:rPr>
  </w:style>
  <w:style w:type="paragraph" w:customStyle="1" w:styleId="BodySmallRight">
    <w:name w:val="Body Small Right"/>
    <w:basedOn w:val="BodyTextRight"/>
    <w:rsid w:val="00AE6F76"/>
    <w:rPr>
      <w:sz w:val="18"/>
      <w:szCs w:val="18"/>
    </w:rPr>
  </w:style>
  <w:style w:type="paragraph" w:customStyle="1" w:styleId="MarginEdition">
    <w:name w:val="Margin Edition"/>
    <w:basedOn w:val="MarginNote"/>
    <w:rsid w:val="00AE6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F76"/>
    <w:rPr>
      <w:sz w:val="2"/>
      <w:szCs w:val="2"/>
    </w:rPr>
  </w:style>
  <w:style w:type="character" w:customStyle="1" w:styleId="Small">
    <w:name w:val="Small"/>
    <w:basedOn w:val="DefaultParagraphFont"/>
    <w:rsid w:val="00AE6F76"/>
    <w:rPr>
      <w:sz w:val="16"/>
    </w:rPr>
  </w:style>
  <w:style w:type="paragraph" w:customStyle="1" w:styleId="WideTable">
    <w:name w:val="Wide Table"/>
    <w:basedOn w:val="Normal"/>
    <w:rsid w:val="00AE6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F76"/>
  </w:style>
  <w:style w:type="paragraph" w:styleId="Quote">
    <w:name w:val="Quote"/>
    <w:basedOn w:val="Heading1"/>
    <w:link w:val="QuoteChar"/>
    <w:qFormat/>
    <w:rsid w:val="00AE6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F76"/>
    <w:pPr>
      <w:pageBreakBefore/>
    </w:pPr>
  </w:style>
  <w:style w:type="paragraph" w:customStyle="1" w:styleId="Border">
    <w:name w:val="Border"/>
    <w:basedOn w:val="Normal"/>
    <w:qFormat/>
    <w:rsid w:val="00AE6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F76"/>
    <w:rPr>
      <w:u w:val="single"/>
    </w:rPr>
  </w:style>
  <w:style w:type="character" w:customStyle="1" w:styleId="BoldandItalics">
    <w:name w:val="Bold and Italics"/>
    <w:qFormat/>
    <w:rsid w:val="00AE6F76"/>
    <w:rPr>
      <w:b/>
      <w:i/>
      <w:u w:val="none"/>
    </w:rPr>
  </w:style>
  <w:style w:type="paragraph" w:styleId="BalloonText">
    <w:name w:val="Balloon Text"/>
    <w:basedOn w:val="Normal"/>
    <w:link w:val="BalloonTextChar"/>
    <w:rsid w:val="00AE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F76"/>
    <w:pPr>
      <w:spacing w:before="0" w:after="0"/>
    </w:pPr>
  </w:style>
  <w:style w:type="paragraph" w:customStyle="1" w:styleId="BodyTextBold">
    <w:name w:val="Body Text Bold"/>
    <w:basedOn w:val="BodyText"/>
    <w:qFormat/>
    <w:rsid w:val="00AE6F76"/>
    <w:rPr>
      <w:b/>
    </w:rPr>
  </w:style>
  <w:style w:type="character" w:styleId="Hyperlink">
    <w:name w:val="Hyperlink"/>
    <w:basedOn w:val="DefaultParagraphFont"/>
    <w:uiPriority w:val="99"/>
    <w:unhideWhenUsed/>
    <w:rsid w:val="00994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2386</Characters>
  <Application>Microsoft Office Word</Application>
  <DocSecurity>0</DocSecurity>
  <Lines>85</Lines>
  <Paragraphs>76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MSFGG2016 Assemble glazing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