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9A4" w:rsidP="00A979A4">
      <w:pPr>
        <w:pStyle w:val="Title"/>
      </w:pPr>
      <w:r>
        <w:fldChar w:fldCharType="begin"/>
      </w:r>
      <w:r>
        <w:instrText xml:space="preserve"> TITLE   \* MERGEFORMAT </w:instrText>
      </w:r>
      <w:r>
        <w:fldChar w:fldCharType="separate"/>
      </w:r>
      <w:r>
        <w:t>MSFGG2008 Glaze and re-glaze residential windows and doors</w:t>
      </w:r>
      <w:r>
        <w:fldChar w:fldCharType="end"/>
      </w:r>
    </w:p>
    <w:p w:rsidR="00A979A4" w:rsidP="00A979A4">
      <w:pPr>
        <w:pStyle w:val="Version"/>
        <w:sectPr w:rsidSect="001068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68E6" w:rsidP="001068E6">
      <w:pPr>
        <w:pStyle w:val="SuperHeading"/>
      </w:pPr>
      <w:r w:rsidRPr="001068E6">
        <w:t>MSFGG2008 Glaze and re-glaze residential windows and doors</w:t>
      </w:r>
    </w:p>
    <w:p w:rsidR="00000000" w:rsidRPr="001068E6" w:rsidP="001068E6">
      <w:pPr>
        <w:pStyle w:val="Heading1"/>
      </w:pPr>
      <w:bookmarkStart w:id="1" w:name="O_798176"/>
      <w:bookmarkEnd w:id="1"/>
      <w:r w:rsidRPr="001068E6">
        <w:t>Modification History</w:t>
      </w:r>
    </w:p>
    <w:p w:rsidR="00000000" w:rsidRPr="001068E6" w:rsidP="00A979A4">
      <w:pPr>
        <w:pStyle w:val="BodyText"/>
      </w:pPr>
      <w:r w:rsidRPr="001068E6">
        <w:t>Release 2 - Update of Australian Standards codes.  Statement regarding currency of Australian Standards included in Range of Conditions and Performance Evidence.</w:t>
      </w:r>
    </w:p>
    <w:p w:rsidR="00000000" w:rsidRPr="001068E6" w:rsidP="00A979A4">
      <w:pPr>
        <w:pStyle w:val="BodyText"/>
      </w:pPr>
      <w:r w:rsidRPr="001068E6">
        <w:t>Release 1 - New unit of competency</w:t>
      </w:r>
    </w:p>
    <w:p w:rsidR="00000000" w:rsidRPr="001068E6" w:rsidP="001068E6">
      <w:pPr>
        <w:pStyle w:val="Heading1"/>
      </w:pPr>
      <w:bookmarkStart w:id="2" w:name="O_798175"/>
      <w:bookmarkEnd w:id="2"/>
      <w:r w:rsidRPr="001068E6">
        <w:t>Appli</w:t>
      </w:r>
      <w:r w:rsidRPr="001068E6">
        <w:t>cation</w:t>
      </w:r>
    </w:p>
    <w:p w:rsidR="00000000" w:rsidRPr="001068E6" w:rsidP="00A979A4">
      <w:pPr>
        <w:pStyle w:val="BodyText"/>
      </w:pPr>
      <w:r w:rsidRPr="001068E6">
        <w:t xml:space="preserve">This unit of competency covers fitting glass to residential windows and doors, other openings, or to other frames performed in workplaces involving on-site and off-site fabrication, installation and replacement of glass. </w:t>
      </w:r>
    </w:p>
    <w:p w:rsidR="00000000" w:rsidRPr="001068E6" w:rsidP="00A979A4">
      <w:pPr>
        <w:pStyle w:val="BodyText"/>
      </w:pPr>
      <w:r w:rsidRPr="001068E6">
        <w:t xml:space="preserve">No licensing, legislative </w:t>
      </w:r>
      <w:r w:rsidRPr="001068E6">
        <w:t>or certification requirements apply to this unit at the time of publication.</w:t>
      </w:r>
    </w:p>
    <w:p w:rsidR="00000000" w:rsidRPr="001068E6" w:rsidP="001068E6">
      <w:pPr>
        <w:pStyle w:val="Heading1"/>
      </w:pPr>
      <w:bookmarkStart w:id="3" w:name="O_798174"/>
      <w:bookmarkEnd w:id="3"/>
      <w:r w:rsidRPr="001068E6">
        <w:t>Pre-requisite Unit</w:t>
      </w:r>
    </w:p>
    <w:p w:rsidR="00000000" w:rsidRPr="001068E6" w:rsidP="001068E6">
      <w:pPr>
        <w:pStyle w:val="Heading1"/>
      </w:pPr>
      <w:bookmarkStart w:id="4" w:name="O_798173"/>
      <w:bookmarkEnd w:id="4"/>
      <w:r w:rsidRPr="001068E6">
        <w:t>Competency Field</w:t>
      </w:r>
    </w:p>
    <w:p w:rsidR="00000000" w:rsidRPr="001068E6" w:rsidP="001068E6">
      <w:pPr>
        <w:pStyle w:val="Heading1"/>
      </w:pPr>
      <w:bookmarkStart w:id="5" w:name="O_798172"/>
      <w:bookmarkEnd w:id="5"/>
      <w:r w:rsidRPr="001068E6">
        <w:t>Unit Sector</w:t>
      </w:r>
    </w:p>
    <w:p w:rsidR="00000000" w:rsidRPr="001068E6" w:rsidP="00A979A4">
      <w:pPr>
        <w:pStyle w:val="BodyText"/>
      </w:pPr>
      <w:r w:rsidRPr="001068E6">
        <w:t>Glass and Glazing</w:t>
      </w:r>
    </w:p>
    <w:p w:rsidR="00000000" w:rsidRPr="001068E6" w:rsidP="001068E6">
      <w:pPr>
        <w:pStyle w:val="Heading1"/>
      </w:pPr>
      <w:bookmarkStart w:id="6" w:name="O_798171"/>
      <w:bookmarkEnd w:id="6"/>
      <w:r w:rsidRPr="001068E6">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1068E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Elements desc</w:t>
            </w:r>
            <w:r w:rsidRPr="001068E6">
              <w:t>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Performance criteria describe the performance needed to demonstrate achievement of the element.</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1</w:t>
            </w:r>
          </w:p>
        </w:tc>
        <w:tc>
          <w:tcPr>
            <w:tcW w:w="2185"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Identify work requirements</w:t>
            </w: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1.1</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Work requirements for the type of glass to be used and the method of fixing are identified from work instructions</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1.2</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Work health and safety (WHS) requirements for glazing/re-glazing of windows and doors, including personal protective equipment, are obs</w:t>
            </w:r>
            <w:r w:rsidRPr="001068E6">
              <w:t>erved throughout the work</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1.3</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The process for fitting glass to window and doorframes is identified</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2</w:t>
            </w:r>
          </w:p>
        </w:tc>
        <w:tc>
          <w:tcPr>
            <w:tcW w:w="2185"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Prepare for work</w:t>
            </w: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2.1</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 xml:space="preserve">Work sequence is planned in a logical order to suit the job </w:t>
            </w:r>
            <w:r w:rsidRPr="001068E6">
              <w:t>and in accordance with workplace procedures</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2.2</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Tools, equipment and materials (other than glass and frames) are selected and checked prior to use to ensure they are appropriate for the work, serviceable and in a safe condition</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2.3</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Type of glass to be fitted and frames are selected to match job requi</w:t>
            </w:r>
            <w:r w:rsidRPr="001068E6">
              <w:t>rements and glass checked for type, size and imperfections</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2.4</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Glass fixing method is selected and frame condition is assessed to ensure suitability for glazing in accordance with customer order and Australian Standards</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2.5</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Defective frames are reported for repair or replacement in accordance with workplace procedures</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2.6</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Fixing and sealing materials are prepared by mixing or cutting to length, as appropriate</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3</w:t>
            </w:r>
          </w:p>
        </w:tc>
        <w:tc>
          <w:tcPr>
            <w:tcW w:w="2185"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Identify site conditions and restraints</w:t>
            </w: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3.1</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On-site difficult</w:t>
            </w:r>
            <w:r w:rsidRPr="001068E6">
              <w:t>ies are recognised and corrective action taken in accordance with regulations and workplace requirements</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3.2</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Covering material is applied, where necessary, to protect existing fixtures and fittings</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3.3</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Special characteristics of the window or door wh</w:t>
            </w:r>
            <w:r w:rsidRPr="001068E6">
              <w:t>ich may affect the finished job are identified and corrective action taken</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3.4</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Prefabricated, modular scaffolding system to a maximum of one platform is erected safely and in the correct order of assembly, if required</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3.5</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Access stai</w:t>
            </w:r>
            <w:r w:rsidRPr="001068E6">
              <w:t>rway or ladder and edge protection components are fitted to the modular scaffolding, where used</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4</w:t>
            </w:r>
          </w:p>
        </w:tc>
        <w:tc>
          <w:tcPr>
            <w:tcW w:w="2185"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Perform glazing</w:t>
            </w: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4.1</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Frame is prepared to receive glass by checking size against specifications, removing remains of glass and any sealants, cleaning and surf</w:t>
            </w:r>
            <w:r w:rsidRPr="001068E6">
              <w:t>ace preparation, if required</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4.2</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Glass is fixed to the frame using the selected method and in accordance with recognised industry procedures and Australian Standards</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4.3</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Solvents and sealants are used in accordance with manufacturer recommendations and Australian Standards</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4.4</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Excess sealing material is removed and glass and frame cleaned after fixing</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5</w:t>
            </w:r>
          </w:p>
        </w:tc>
        <w:tc>
          <w:tcPr>
            <w:tcW w:w="2185"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Complete work</w:t>
            </w: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5.1</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Completed installation is checked to ensure comp</w:t>
            </w:r>
            <w:r w:rsidRPr="001068E6">
              <w:t>liance with customer requirements and specifications</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5.2</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Prefabricated modular scaffolding, where used, is dismantled safely in the correct order and packed for transport</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5.3</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Tools, equipment and materials are cleaned and stored following workplace procedures</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5.4</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Work area is cleaned and left in a safe condition and rubbish disposed of, as appropriate</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5.5</w:t>
            </w:r>
          </w:p>
        </w:tc>
        <w:tc>
          <w:tcPr>
            <w:tcW w:w="5844"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Waste and scrap materials are removed for disposal or recycling, as</w:t>
            </w:r>
            <w:r w:rsidRPr="001068E6">
              <w:t xml:space="preserve"> required</w:t>
            </w:r>
          </w:p>
        </w:tc>
      </w:tr>
      <w:tr w:rsidTr="001068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83"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5.6</w:t>
            </w:r>
          </w:p>
        </w:tc>
        <w:tc>
          <w:tcPr>
            <w:tcW w:w="5844" w:type="dxa"/>
            <w:tcBorders>
              <w:top w:val="nil"/>
              <w:left w:val="nil"/>
              <w:bottom w:val="nil"/>
              <w:right w:val="nil"/>
            </w:tcBorders>
            <w:tcMar>
              <w:top w:w="0" w:type="dxa"/>
              <w:left w:w="62" w:type="dxa"/>
              <w:bottom w:w="0" w:type="dxa"/>
              <w:right w:w="62" w:type="dxa"/>
            </w:tcMar>
          </w:tcPr>
          <w:p w:rsidR="00000000" w:rsidRPr="001068E6" w:rsidP="001068E6">
            <w:pPr>
              <w:pStyle w:val="BodyText"/>
            </w:pPr>
            <w:r w:rsidRPr="001068E6">
              <w:t>Workplace documentation is completed in accordance with workplace requirements including calculating the cost of glass, fittings, materials and labour</w:t>
            </w:r>
          </w:p>
        </w:tc>
      </w:tr>
    </w:tbl>
    <w:p w:rsidR="00000000" w:rsidRPr="001068E6" w:rsidP="001068E6">
      <w:pPr>
        <w:pStyle w:val="BodyText"/>
      </w:pPr>
    </w:p>
    <w:p w:rsidR="00000000" w:rsidRPr="001068E6" w:rsidP="001068E6">
      <w:pPr>
        <w:pStyle w:val="AllowPageBreak"/>
      </w:pPr>
    </w:p>
    <w:p w:rsidR="00000000" w:rsidRPr="001068E6" w:rsidP="001068E6">
      <w:pPr>
        <w:pStyle w:val="Heading1"/>
      </w:pPr>
      <w:bookmarkStart w:id="7" w:name="O_798170"/>
      <w:bookmarkEnd w:id="7"/>
      <w:r w:rsidRPr="001068E6">
        <w:t>Foundation Skills</w:t>
      </w:r>
    </w:p>
    <w:p w:rsidR="00000000" w:rsidRPr="001068E6" w:rsidP="00A979A4">
      <w:pPr>
        <w:pStyle w:val="BodyText"/>
      </w:pPr>
      <w:r w:rsidRPr="001068E6">
        <w:t>Foundation skills essential to performance are expl</w:t>
      </w:r>
      <w:r w:rsidRPr="001068E6">
        <w:t>icit in the performance criteria of this unit of competency. Detail on appropriate performance levels for each furnishing unit of competency in reading, writing, oral communication and numeracy utilising the Australian Core Skills Framework (ACSF) are prov</w:t>
      </w:r>
      <w:r w:rsidRPr="001068E6">
        <w:t>ided in the Furnishing Training Package Implementation Guide.</w:t>
      </w:r>
    </w:p>
    <w:p w:rsidR="00000000" w:rsidRPr="001068E6" w:rsidP="001068E6">
      <w:pPr>
        <w:pStyle w:val="Heading1"/>
      </w:pPr>
      <w:bookmarkStart w:id="8" w:name="O_798169"/>
      <w:bookmarkEnd w:id="8"/>
      <w:r w:rsidRPr="001068E6">
        <w:t>Range of Conditions</w:t>
      </w:r>
    </w:p>
    <w:tbl>
      <w:tblPr>
        <w:tblW w:w="0" w:type="auto"/>
        <w:tblLayout w:type="fixed"/>
        <w:tblCellMar>
          <w:left w:w="62" w:type="dxa"/>
          <w:right w:w="62" w:type="dxa"/>
        </w:tblCellMar>
        <w:tblLook w:val="0000"/>
      </w:tblPr>
      <w:tblGrid>
        <w:gridCol w:w="2760"/>
        <w:gridCol w:w="6312"/>
      </w:tblGrid>
      <w:tr w:rsidTr="001068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t xml:space="preserve">Specifies different work environments and conditions that may affect performance. Essential operating conditions that may be present (depending </w:t>
            </w:r>
            <w:r w:rsidRPr="001068E6">
              <w:t>on the work situation, needs of the candidate, accessibility of the item, and local industry and regional contexts) are included. Range is restricted to essential operating conditions and any other variables essential to the work environment.</w:t>
            </w:r>
          </w:p>
        </w:tc>
      </w:tr>
      <w:tr w:rsidTr="00106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rPr>
                <w:rStyle w:val="SpecialBold"/>
              </w:rPr>
              <w:t>Unit contex</w:t>
            </w:r>
            <w:r w:rsidRPr="001068E6">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1068E6" w:rsidP="001068E6">
            <w:pPr>
              <w:pStyle w:val="ListBullet"/>
            </w:pPr>
            <w:r w:rsidRPr="001068E6">
              <w:t xml:space="preserve">WHS requirements, including legislation, building codes, material safety management systems, hazardous and dangerous goods code, and local safe operating procedures or equivalent </w:t>
            </w:r>
          </w:p>
          <w:p w:rsidR="00000000" w:rsidRPr="001068E6" w:rsidP="001068E6">
            <w:pPr>
              <w:pStyle w:val="ListBullet"/>
            </w:pPr>
            <w:r w:rsidRPr="001068E6">
              <w:t>work is carried out in accordance with legislative obligations,</w:t>
            </w:r>
            <w:r w:rsidRPr="001068E6">
              <w:t xml:space="preserve"> environmental legislation, relevant health regulations, manual handling procedures and organisation insurance requirements</w:t>
            </w:r>
          </w:p>
          <w:p w:rsidR="00000000" w:rsidP="001068E6">
            <w:pPr>
              <w:pStyle w:val="ListBullet"/>
              <w:rPr>
                <w:lang w:val="en-NZ"/>
              </w:rPr>
            </w:pPr>
            <w:r w:rsidRPr="001068E6">
              <w:t xml:space="preserve">work requires individuals to demonstrate some discretion, judgement and problem solving </w:t>
            </w:r>
          </w:p>
        </w:tc>
      </w:tr>
      <w:tr w:rsidTr="00106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rPr>
                <w:rStyle w:val="SpecialBold"/>
              </w:rPr>
              <w:t>Types of glass include:</w:t>
            </w:r>
          </w:p>
        </w:tc>
        <w:tc>
          <w:tcPr>
            <w:tcW w:w="6312" w:type="dxa"/>
            <w:tcBorders>
              <w:top w:val="nil"/>
              <w:left w:val="nil"/>
              <w:bottom w:val="nil"/>
              <w:right w:val="nil"/>
            </w:tcBorders>
            <w:tcMar>
              <w:top w:w="0" w:type="dxa"/>
              <w:left w:w="62" w:type="dxa"/>
              <w:bottom w:w="0" w:type="dxa"/>
              <w:right w:w="62" w:type="dxa"/>
            </w:tcMar>
          </w:tcPr>
          <w:p w:rsidR="00000000" w:rsidRPr="001068E6" w:rsidP="001068E6">
            <w:pPr>
              <w:pStyle w:val="ListBullet"/>
            </w:pPr>
            <w:r w:rsidRPr="001068E6">
              <w:t>annealed glass</w:t>
            </w:r>
          </w:p>
          <w:p w:rsidR="00000000" w:rsidRPr="001068E6" w:rsidP="001068E6">
            <w:pPr>
              <w:pStyle w:val="ListBullet"/>
            </w:pPr>
            <w:r w:rsidRPr="001068E6">
              <w:t>toughened glass</w:t>
            </w:r>
          </w:p>
          <w:p w:rsidR="00000000" w:rsidRPr="001068E6" w:rsidP="001068E6">
            <w:pPr>
              <w:pStyle w:val="ListBullet"/>
            </w:pPr>
            <w:r w:rsidRPr="001068E6">
              <w:t>laminated glass</w:t>
            </w:r>
          </w:p>
          <w:p w:rsidR="00000000" w:rsidRPr="001068E6" w:rsidP="001068E6">
            <w:pPr>
              <w:pStyle w:val="ListBullet"/>
            </w:pPr>
            <w:r w:rsidRPr="001068E6">
              <w:t>wired glass</w:t>
            </w:r>
          </w:p>
          <w:p w:rsidR="00000000" w:rsidRPr="001068E6" w:rsidP="001068E6">
            <w:pPr>
              <w:pStyle w:val="ListBullet"/>
            </w:pPr>
            <w:r w:rsidRPr="001068E6">
              <w:t>tinted and heat reflective glass</w:t>
            </w:r>
          </w:p>
          <w:p w:rsidR="00000000" w:rsidRPr="001068E6" w:rsidP="001068E6">
            <w:pPr>
              <w:pStyle w:val="ListBullet"/>
            </w:pPr>
            <w:r w:rsidRPr="001068E6">
              <w:t>coated glass and insulated glass units</w:t>
            </w:r>
          </w:p>
          <w:p w:rsidR="00000000" w:rsidP="001068E6">
            <w:pPr>
              <w:pStyle w:val="ListBullet"/>
              <w:rPr>
                <w:lang w:val="en-NZ"/>
              </w:rPr>
            </w:pPr>
            <w:r w:rsidRPr="001068E6">
              <w:t>patterned glass</w:t>
            </w:r>
          </w:p>
        </w:tc>
      </w:tr>
      <w:tr w:rsidTr="00106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rPr>
                <w:rStyle w:val="SpecialBold"/>
              </w:rPr>
              <w:t>Methods of glazing include:</w:t>
            </w:r>
          </w:p>
        </w:tc>
        <w:tc>
          <w:tcPr>
            <w:tcW w:w="6312" w:type="dxa"/>
            <w:tcBorders>
              <w:top w:val="nil"/>
              <w:left w:val="nil"/>
              <w:bottom w:val="nil"/>
              <w:right w:val="nil"/>
            </w:tcBorders>
            <w:tcMar>
              <w:top w:w="0" w:type="dxa"/>
              <w:left w:w="62" w:type="dxa"/>
              <w:bottom w:w="0" w:type="dxa"/>
              <w:right w:w="62" w:type="dxa"/>
            </w:tcMar>
          </w:tcPr>
          <w:p w:rsidR="00000000" w:rsidRPr="001068E6" w:rsidP="001068E6">
            <w:pPr>
              <w:pStyle w:val="ListBullet"/>
            </w:pPr>
            <w:r w:rsidRPr="001068E6">
              <w:t>channel glazing</w:t>
            </w:r>
          </w:p>
          <w:p w:rsidR="00000000" w:rsidP="001068E6">
            <w:pPr>
              <w:pStyle w:val="ListBullet"/>
              <w:rPr>
                <w:lang w:val="en-NZ"/>
              </w:rPr>
            </w:pPr>
            <w:r w:rsidRPr="001068E6">
              <w:t>beaded glazing and double glazing</w:t>
            </w:r>
          </w:p>
        </w:tc>
      </w:tr>
      <w:tr w:rsidTr="00106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rPr>
                <w:rStyle w:val="SpecialBold"/>
              </w:rPr>
              <w:t>Glazing and re-glazing includes:</w:t>
            </w:r>
          </w:p>
        </w:tc>
        <w:tc>
          <w:tcPr>
            <w:tcW w:w="6312" w:type="dxa"/>
            <w:tcBorders>
              <w:top w:val="nil"/>
              <w:left w:val="nil"/>
              <w:bottom w:val="nil"/>
              <w:right w:val="nil"/>
            </w:tcBorders>
            <w:tcMar>
              <w:top w:w="0" w:type="dxa"/>
              <w:left w:w="62" w:type="dxa"/>
              <w:bottom w:w="0" w:type="dxa"/>
              <w:right w:w="62" w:type="dxa"/>
            </w:tcMar>
          </w:tcPr>
          <w:p w:rsidR="00000000" w:rsidRPr="001068E6" w:rsidP="001068E6">
            <w:pPr>
              <w:pStyle w:val="ListBullet"/>
            </w:pPr>
            <w:r w:rsidRPr="001068E6">
              <w:t>installat</w:t>
            </w:r>
            <w:r w:rsidRPr="001068E6">
              <w:t>ion of glass to metal and/or timber doors, windows and other frames, and re-glazing of existing windows and doors</w:t>
            </w:r>
          </w:p>
          <w:p w:rsidR="00000000" w:rsidRPr="001068E6" w:rsidP="001068E6">
            <w:pPr>
              <w:pStyle w:val="ListBullet"/>
            </w:pPr>
            <w:r w:rsidRPr="001068E6">
              <w:t>residential glazing/re-glazing that is confined to simple doors and windows:</w:t>
            </w:r>
          </w:p>
          <w:p w:rsidR="00000000" w:rsidRPr="001068E6" w:rsidP="001068E6">
            <w:pPr>
              <w:pStyle w:val="ListBullet2"/>
            </w:pPr>
            <w:r w:rsidRPr="001068E6">
              <w:t xml:space="preserve">residential windows, such as fixed, sliding, casement, awning and double hung and louvres </w:t>
            </w:r>
          </w:p>
          <w:p w:rsidR="00000000" w:rsidP="001068E6">
            <w:pPr>
              <w:pStyle w:val="ListBullet2"/>
              <w:rPr>
                <w:lang w:val="en-NZ"/>
              </w:rPr>
            </w:pPr>
            <w:r w:rsidRPr="001068E6">
              <w:t>residential doors, such as sliding, hinged, pivot and bi-fold</w:t>
            </w:r>
          </w:p>
        </w:tc>
      </w:tr>
      <w:tr w:rsidTr="00106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068E6" w:rsidP="001068E6">
            <w:pPr>
              <w:pStyle w:val="ListBullet"/>
            </w:pPr>
            <w:r w:rsidRPr="001068E6">
              <w:t>tungsten wheel glass cutters</w:t>
            </w:r>
          </w:p>
          <w:p w:rsidR="00000000" w:rsidRPr="001068E6" w:rsidP="001068E6">
            <w:pPr>
              <w:pStyle w:val="ListBullet"/>
            </w:pPr>
            <w:r w:rsidRPr="001068E6">
              <w:t>speed cutters</w:t>
            </w:r>
          </w:p>
          <w:p w:rsidR="00000000" w:rsidRPr="001068E6" w:rsidP="001068E6">
            <w:pPr>
              <w:pStyle w:val="ListBullet"/>
            </w:pPr>
            <w:r w:rsidRPr="001068E6">
              <w:t>cutting lubricants</w:t>
            </w:r>
          </w:p>
          <w:p w:rsidR="00000000" w:rsidRPr="001068E6" w:rsidP="001068E6">
            <w:pPr>
              <w:pStyle w:val="ListBullet"/>
            </w:pPr>
            <w:r w:rsidRPr="001068E6">
              <w:t>running pl</w:t>
            </w:r>
            <w:r w:rsidRPr="001068E6">
              <w:t>iers</w:t>
            </w:r>
          </w:p>
          <w:p w:rsidR="00000000" w:rsidRPr="001068E6" w:rsidP="001068E6">
            <w:pPr>
              <w:pStyle w:val="ListBullet"/>
            </w:pPr>
            <w:r w:rsidRPr="001068E6">
              <w:t>straight edges and squares</w:t>
            </w:r>
          </w:p>
          <w:p w:rsidR="00000000" w:rsidRPr="001068E6" w:rsidP="001068E6">
            <w:pPr>
              <w:pStyle w:val="ListBullet"/>
            </w:pPr>
            <w:r w:rsidRPr="001068E6">
              <w:t>tape measures</w:t>
            </w:r>
          </w:p>
          <w:p w:rsidR="00000000" w:rsidRPr="001068E6" w:rsidP="001068E6">
            <w:pPr>
              <w:pStyle w:val="ListBullet"/>
            </w:pPr>
            <w:r w:rsidRPr="001068E6">
              <w:t>glass handling and lifting equipment</w:t>
            </w:r>
          </w:p>
          <w:p w:rsidR="00000000" w:rsidRPr="001068E6" w:rsidP="001068E6">
            <w:pPr>
              <w:pStyle w:val="ListBullet"/>
            </w:pPr>
            <w:r w:rsidRPr="001068E6">
              <w:t>hack-out knives</w:t>
            </w:r>
          </w:p>
          <w:p w:rsidR="00000000" w:rsidRPr="001068E6" w:rsidP="001068E6">
            <w:pPr>
              <w:pStyle w:val="ListBullet"/>
            </w:pPr>
            <w:r w:rsidRPr="001068E6">
              <w:t>chisels</w:t>
            </w:r>
          </w:p>
          <w:p w:rsidR="00000000" w:rsidRPr="001068E6" w:rsidP="001068E6">
            <w:pPr>
              <w:pStyle w:val="ListBullet"/>
            </w:pPr>
            <w:r w:rsidRPr="001068E6">
              <w:t>putty knives</w:t>
            </w:r>
          </w:p>
          <w:p w:rsidR="00000000" w:rsidRPr="001068E6" w:rsidP="001068E6">
            <w:pPr>
              <w:pStyle w:val="ListBullet"/>
            </w:pPr>
            <w:r w:rsidRPr="001068E6">
              <w:t>sprig/diamond guns</w:t>
            </w:r>
          </w:p>
          <w:p w:rsidR="00000000" w:rsidRPr="001068E6" w:rsidP="001068E6">
            <w:pPr>
              <w:pStyle w:val="ListBullet"/>
            </w:pPr>
            <w:r w:rsidRPr="001068E6">
              <w:t>vinyl cutters and rollers</w:t>
            </w:r>
          </w:p>
          <w:p w:rsidR="00000000" w:rsidRPr="001068E6" w:rsidP="001068E6">
            <w:pPr>
              <w:pStyle w:val="ListBullet"/>
            </w:pPr>
            <w:r w:rsidRPr="001068E6">
              <w:t>pry bars</w:t>
            </w:r>
          </w:p>
          <w:p w:rsidR="00000000" w:rsidRPr="001068E6" w:rsidP="001068E6">
            <w:pPr>
              <w:pStyle w:val="ListBullet"/>
            </w:pPr>
            <w:r w:rsidRPr="001068E6">
              <w:t>sealant guns</w:t>
            </w:r>
          </w:p>
          <w:p w:rsidR="00000000" w:rsidRPr="001068E6" w:rsidP="001068E6">
            <w:pPr>
              <w:pStyle w:val="ListBullet"/>
            </w:pPr>
            <w:r w:rsidRPr="001068E6">
              <w:t>blade and Phillips head screwdrivers</w:t>
            </w:r>
          </w:p>
          <w:p w:rsidR="00000000" w:rsidRPr="001068E6" w:rsidP="001068E6">
            <w:pPr>
              <w:pStyle w:val="ListBullet"/>
            </w:pPr>
            <w:r w:rsidRPr="001068E6">
              <w:t>pop rivet guns</w:t>
            </w:r>
          </w:p>
          <w:p w:rsidR="00000000" w:rsidRPr="001068E6" w:rsidP="001068E6">
            <w:pPr>
              <w:pStyle w:val="ListBullet"/>
            </w:pPr>
            <w:r w:rsidRPr="001068E6">
              <w:t>electric and pneumatic drills</w:t>
            </w:r>
          </w:p>
          <w:p w:rsidR="00000000" w:rsidRPr="001068E6" w:rsidP="001068E6">
            <w:pPr>
              <w:pStyle w:val="ListBullet"/>
            </w:pPr>
            <w:r w:rsidRPr="001068E6">
              <w:t>rubber mallets</w:t>
            </w:r>
          </w:p>
          <w:p w:rsidR="00000000" w:rsidRPr="001068E6" w:rsidP="001068E6">
            <w:pPr>
              <w:pStyle w:val="ListBullet"/>
            </w:pPr>
            <w:r w:rsidRPr="001068E6">
              <w:t>claw hammers</w:t>
            </w:r>
          </w:p>
          <w:p w:rsidR="00000000" w:rsidRPr="001068E6" w:rsidP="001068E6">
            <w:pPr>
              <w:pStyle w:val="ListBullet"/>
            </w:pPr>
            <w:r w:rsidRPr="001068E6">
              <w:t xml:space="preserve">nail punches </w:t>
            </w:r>
          </w:p>
          <w:p w:rsidR="00000000" w:rsidP="001068E6">
            <w:pPr>
              <w:pStyle w:val="ListBullet"/>
              <w:rPr>
                <w:lang w:val="en-NZ"/>
              </w:rPr>
            </w:pPr>
            <w:r w:rsidRPr="001068E6">
              <w:t>personal protective equipment</w:t>
            </w:r>
          </w:p>
        </w:tc>
      </w:tr>
      <w:tr w:rsidTr="00106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068E6" w:rsidP="001068E6">
            <w:pPr>
              <w:pStyle w:val="BodyText"/>
            </w:pPr>
            <w:r w:rsidRPr="001068E6">
              <w:rPr>
                <w:rStyle w:val="SpecialBold"/>
              </w:rPr>
              <w:t>Materials include:</w:t>
            </w:r>
          </w:p>
          <w:p w:rsidR="00000000" w:rsidP="001068E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068E6" w:rsidP="001068E6">
            <w:pPr>
              <w:pStyle w:val="ListBullet"/>
            </w:pPr>
            <w:r w:rsidRPr="001068E6">
              <w:t>flat glass and acrylic glazing products</w:t>
            </w:r>
          </w:p>
          <w:p w:rsidR="00000000" w:rsidRPr="001068E6" w:rsidP="001068E6">
            <w:pPr>
              <w:pStyle w:val="ListBullet"/>
            </w:pPr>
            <w:r w:rsidRPr="001068E6">
              <w:t>plastic</w:t>
            </w:r>
          </w:p>
          <w:p w:rsidR="00000000" w:rsidRPr="001068E6" w:rsidP="001068E6">
            <w:pPr>
              <w:pStyle w:val="ListBullet"/>
            </w:pPr>
            <w:r w:rsidRPr="001068E6">
              <w:t>aluminium</w:t>
            </w:r>
          </w:p>
          <w:p w:rsidR="00000000" w:rsidRPr="001068E6" w:rsidP="001068E6">
            <w:pPr>
              <w:pStyle w:val="ListBullet"/>
            </w:pPr>
            <w:r w:rsidRPr="001068E6">
              <w:t>steel</w:t>
            </w:r>
          </w:p>
          <w:p w:rsidR="00000000" w:rsidRPr="001068E6" w:rsidP="001068E6">
            <w:pPr>
              <w:pStyle w:val="ListBullet"/>
            </w:pPr>
            <w:r w:rsidRPr="001068E6">
              <w:t>solid timber</w:t>
            </w:r>
          </w:p>
          <w:p w:rsidR="00000000" w:rsidRPr="001068E6" w:rsidP="001068E6">
            <w:pPr>
              <w:pStyle w:val="ListBullet"/>
            </w:pPr>
            <w:r w:rsidRPr="001068E6">
              <w:t>gaskets</w:t>
            </w:r>
          </w:p>
          <w:p w:rsidR="00000000" w:rsidRPr="001068E6" w:rsidP="001068E6">
            <w:pPr>
              <w:pStyle w:val="ListBullet"/>
            </w:pPr>
            <w:r w:rsidRPr="001068E6">
              <w:t>sealants</w:t>
            </w:r>
          </w:p>
          <w:p w:rsidR="00000000" w:rsidRPr="001068E6" w:rsidP="001068E6">
            <w:pPr>
              <w:pStyle w:val="ListBullet"/>
            </w:pPr>
            <w:r w:rsidRPr="001068E6">
              <w:t>adhesives</w:t>
            </w:r>
          </w:p>
          <w:p w:rsidR="00000000" w:rsidRPr="001068E6" w:rsidP="001068E6">
            <w:pPr>
              <w:pStyle w:val="ListBullet"/>
            </w:pPr>
            <w:r w:rsidRPr="001068E6">
              <w:t xml:space="preserve">glazing tapes </w:t>
            </w:r>
          </w:p>
          <w:p w:rsidR="00000000" w:rsidP="001068E6">
            <w:pPr>
              <w:pStyle w:val="ListBullet"/>
              <w:rPr>
                <w:lang w:val="en-NZ"/>
              </w:rPr>
            </w:pPr>
            <w:r w:rsidRPr="001068E6">
              <w:t>setting blocks</w:t>
            </w:r>
          </w:p>
        </w:tc>
      </w:tr>
      <w:tr w:rsidTr="00106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rPr>
                <w:rStyle w:val="SpecialBold"/>
              </w:rPr>
              <w:t>Matching job requirements includes:</w:t>
            </w:r>
          </w:p>
        </w:tc>
        <w:tc>
          <w:tcPr>
            <w:tcW w:w="6312" w:type="dxa"/>
            <w:tcBorders>
              <w:top w:val="nil"/>
              <w:left w:val="nil"/>
              <w:bottom w:val="nil"/>
              <w:right w:val="nil"/>
            </w:tcBorders>
            <w:tcMar>
              <w:top w:w="0" w:type="dxa"/>
              <w:left w:w="62" w:type="dxa"/>
              <w:bottom w:w="0" w:type="dxa"/>
              <w:right w:w="62" w:type="dxa"/>
            </w:tcMar>
          </w:tcPr>
          <w:p w:rsidR="00000000" w:rsidRPr="001068E6" w:rsidP="001068E6">
            <w:pPr>
              <w:pStyle w:val="ListBullet"/>
            </w:pPr>
            <w:r w:rsidRPr="001068E6">
              <w:t xml:space="preserve">customer order </w:t>
            </w:r>
          </w:p>
          <w:p w:rsidR="00000000" w:rsidP="001068E6">
            <w:pPr>
              <w:pStyle w:val="ListBullet"/>
              <w:rPr>
                <w:lang w:val="en-NZ"/>
              </w:rPr>
            </w:pPr>
            <w:r w:rsidRPr="001068E6">
              <w:t xml:space="preserve">existing glass type  </w:t>
            </w:r>
          </w:p>
        </w:tc>
      </w:tr>
      <w:tr w:rsidTr="00106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rPr>
                <w:rStyle w:val="SpecialBold"/>
              </w:rPr>
              <w:t>Glass fixing factors include:</w:t>
            </w:r>
          </w:p>
        </w:tc>
        <w:tc>
          <w:tcPr>
            <w:tcW w:w="6312" w:type="dxa"/>
            <w:tcBorders>
              <w:top w:val="nil"/>
              <w:left w:val="nil"/>
              <w:bottom w:val="nil"/>
              <w:right w:val="nil"/>
            </w:tcBorders>
            <w:tcMar>
              <w:top w:w="0" w:type="dxa"/>
              <w:left w:w="62" w:type="dxa"/>
              <w:bottom w:w="0" w:type="dxa"/>
              <w:right w:w="62" w:type="dxa"/>
            </w:tcMar>
          </w:tcPr>
          <w:p w:rsidR="00000000" w:rsidRPr="001068E6" w:rsidP="001068E6">
            <w:pPr>
              <w:pStyle w:val="ListBullet"/>
            </w:pPr>
            <w:r w:rsidRPr="001068E6">
              <w:t xml:space="preserve">specification </w:t>
            </w:r>
          </w:p>
          <w:p w:rsidR="00000000" w:rsidRPr="001068E6" w:rsidP="001068E6">
            <w:pPr>
              <w:pStyle w:val="ListBullet"/>
            </w:pPr>
            <w:r w:rsidRPr="001068E6">
              <w:t xml:space="preserve">type of glass and frame </w:t>
            </w:r>
          </w:p>
          <w:p w:rsidR="00000000" w:rsidRPr="001068E6" w:rsidP="001068E6">
            <w:pPr>
              <w:pStyle w:val="ListBullet"/>
            </w:pPr>
            <w:r w:rsidRPr="001068E6">
              <w:t xml:space="preserve">security requirements </w:t>
            </w:r>
          </w:p>
          <w:p w:rsidR="00000000" w:rsidRPr="001068E6" w:rsidP="001068E6">
            <w:pPr>
              <w:pStyle w:val="ListBullet"/>
            </w:pPr>
            <w:r w:rsidRPr="001068E6">
              <w:t xml:space="preserve">sealing methods </w:t>
            </w:r>
          </w:p>
          <w:p w:rsidR="00000000" w:rsidP="001068E6">
            <w:pPr>
              <w:pStyle w:val="ListBullet"/>
              <w:rPr>
                <w:lang w:val="en-NZ"/>
              </w:rPr>
            </w:pPr>
            <w:r w:rsidRPr="001068E6">
              <w:t xml:space="preserve">compliance with relevant Australian Standards </w:t>
            </w:r>
          </w:p>
        </w:tc>
      </w:tr>
      <w:tr w:rsidTr="00106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rPr>
                <w:rStyle w:val="SpecialBold"/>
              </w:rPr>
              <w:t>Prefabricated, modular restricted height scaffolding includes:</w:t>
            </w:r>
          </w:p>
        </w:tc>
        <w:tc>
          <w:tcPr>
            <w:tcW w:w="6312" w:type="dxa"/>
            <w:tcBorders>
              <w:top w:val="nil"/>
              <w:left w:val="nil"/>
              <w:bottom w:val="nil"/>
              <w:right w:val="nil"/>
            </w:tcBorders>
            <w:tcMar>
              <w:top w:w="0" w:type="dxa"/>
              <w:left w:w="62" w:type="dxa"/>
              <w:bottom w:w="0" w:type="dxa"/>
              <w:right w:w="62" w:type="dxa"/>
            </w:tcMar>
          </w:tcPr>
          <w:p w:rsidR="00000000" w:rsidRPr="001068E6" w:rsidP="001068E6">
            <w:pPr>
              <w:pStyle w:val="ListBullet"/>
            </w:pPr>
            <w:r w:rsidRPr="001068E6">
              <w:t>completed scaffolding less than 3 m in completed height from the ground</w:t>
            </w:r>
          </w:p>
          <w:p w:rsidR="00000000" w:rsidRPr="001068E6" w:rsidP="001068E6">
            <w:pPr>
              <w:pStyle w:val="ListBullet"/>
            </w:pPr>
            <w:r w:rsidRPr="001068E6">
              <w:t>erection as close as practicable to the working face, and where the scaffold is greater than 225 mm from the working fac</w:t>
            </w:r>
            <w:r w:rsidRPr="001068E6">
              <w:t>e, guardrails and mid-rails to the inner face must be installed</w:t>
            </w:r>
          </w:p>
          <w:p w:rsidR="00000000" w:rsidRPr="001068E6" w:rsidP="001068E6">
            <w:pPr>
              <w:pStyle w:val="ListBullet"/>
            </w:pPr>
            <w:r w:rsidRPr="001068E6">
              <w:t>dismantling by accessing the scaffold platform by stairway or ladder and start dismantling from an end bay</w:t>
            </w:r>
          </w:p>
          <w:p w:rsidR="00000000" w:rsidP="001068E6">
            <w:pPr>
              <w:pStyle w:val="ListBullet"/>
              <w:rPr>
                <w:lang w:val="en-NZ"/>
              </w:rPr>
            </w:pPr>
            <w:r w:rsidRPr="001068E6">
              <w:t>dismantling sequence is to dismantle guardrails, mid-rails, ledgers, transoms and sta</w:t>
            </w:r>
            <w:r w:rsidRPr="001068E6">
              <w:t>ndards first</w:t>
            </w:r>
          </w:p>
        </w:tc>
      </w:tr>
      <w:tr w:rsidTr="00106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068E6" w:rsidP="001068E6">
            <w:pPr>
              <w:pStyle w:val="BodyText"/>
            </w:pPr>
            <w:r w:rsidRPr="001068E6">
              <w:rPr>
                <w:rStyle w:val="SpecialBold"/>
              </w:rPr>
              <w:t>Personal protective equipment includes:</w:t>
            </w:r>
          </w:p>
          <w:p w:rsidR="00000000" w:rsidP="001068E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068E6" w:rsidP="001068E6">
            <w:pPr>
              <w:pStyle w:val="ListBullet"/>
            </w:pPr>
            <w:r w:rsidRPr="001068E6">
              <w:t>that prescribed under legislation, regulation and enterprise policies and practices:</w:t>
            </w:r>
          </w:p>
          <w:p w:rsidR="00000000" w:rsidRPr="001068E6" w:rsidP="001068E6">
            <w:pPr>
              <w:pStyle w:val="ListBullet2"/>
            </w:pPr>
            <w:r w:rsidRPr="001068E6">
              <w:t>gauntlets</w:t>
            </w:r>
          </w:p>
          <w:p w:rsidR="00000000" w:rsidRPr="001068E6" w:rsidP="001068E6">
            <w:pPr>
              <w:pStyle w:val="ListBullet2"/>
            </w:pPr>
            <w:r w:rsidRPr="001068E6">
              <w:t>gloves</w:t>
            </w:r>
          </w:p>
          <w:p w:rsidR="00000000" w:rsidRPr="001068E6" w:rsidP="001068E6">
            <w:pPr>
              <w:pStyle w:val="ListBullet2"/>
            </w:pPr>
            <w:r w:rsidRPr="001068E6">
              <w:t>safety glasses</w:t>
            </w:r>
          </w:p>
          <w:p w:rsidR="00000000" w:rsidRPr="001068E6" w:rsidP="001068E6">
            <w:pPr>
              <w:pStyle w:val="ListBullet2"/>
            </w:pPr>
            <w:r w:rsidRPr="001068E6">
              <w:t>hard hats</w:t>
            </w:r>
          </w:p>
          <w:p w:rsidR="00000000" w:rsidRPr="001068E6" w:rsidP="001068E6">
            <w:pPr>
              <w:pStyle w:val="ListBullet2"/>
            </w:pPr>
            <w:r w:rsidRPr="001068E6">
              <w:t>safety footwear</w:t>
            </w:r>
          </w:p>
          <w:p w:rsidR="00000000" w:rsidP="001068E6">
            <w:pPr>
              <w:pStyle w:val="ListBullet2"/>
              <w:rPr>
                <w:lang w:val="en-NZ"/>
              </w:rPr>
            </w:pPr>
            <w:r w:rsidRPr="001068E6">
              <w:t>aprons and overalls</w:t>
            </w:r>
          </w:p>
        </w:tc>
      </w:tr>
      <w:tr w:rsidTr="00106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68E6">
            <w:pPr>
              <w:pStyle w:val="BodyText"/>
              <w:rPr>
                <w:lang w:val="en-NZ"/>
              </w:rPr>
            </w:pPr>
            <w:r w:rsidRPr="001068E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068E6" w:rsidP="001068E6">
            <w:pPr>
              <w:pStyle w:val="ListBullet"/>
            </w:pPr>
            <w:r w:rsidRPr="001068E6">
              <w:t xml:space="preserve">workplace procedures relating to the use of tools and equipment and personal protective equipment </w:t>
            </w:r>
          </w:p>
          <w:p w:rsidR="00000000" w:rsidRPr="001068E6" w:rsidP="001068E6">
            <w:pPr>
              <w:pStyle w:val="ListBullet"/>
            </w:pPr>
            <w:r w:rsidRPr="001068E6">
              <w:t xml:space="preserve">work instructions, including job sheets, cutting lists, plans, drawings and designs </w:t>
            </w:r>
          </w:p>
          <w:p w:rsidR="00000000" w:rsidRPr="001068E6" w:rsidP="001068E6">
            <w:pPr>
              <w:pStyle w:val="ListBullet"/>
            </w:pPr>
            <w:r w:rsidRPr="001068E6">
              <w:t xml:space="preserve">workplace procedures relating to reporting and communication </w:t>
            </w:r>
          </w:p>
          <w:p w:rsidR="00000000" w:rsidRPr="001068E6" w:rsidP="001068E6">
            <w:pPr>
              <w:pStyle w:val="ListBullet"/>
            </w:pPr>
            <w:r w:rsidRPr="001068E6">
              <w:t>manufact</w:t>
            </w:r>
            <w:r w:rsidRPr="001068E6">
              <w:t>urer specifications and operational procedures</w:t>
            </w:r>
          </w:p>
          <w:p w:rsidR="00000000" w:rsidRPr="001068E6" w:rsidP="001068E6">
            <w:pPr>
              <w:pStyle w:val="ListBullet"/>
            </w:pPr>
            <w:r w:rsidRPr="001068E6">
              <w:t>on-site procedures and regulations relating to the handling and movement of glass</w:t>
            </w:r>
          </w:p>
          <w:p w:rsidR="00000000" w:rsidRPr="001068E6" w:rsidP="001068E6">
            <w:pPr>
              <w:pStyle w:val="ListBullet"/>
            </w:pPr>
            <w:r w:rsidRPr="001068E6">
              <w:t>Australian Standards:</w:t>
            </w:r>
          </w:p>
          <w:p w:rsidR="00000000" w:rsidRPr="001068E6" w:rsidP="001068E6">
            <w:pPr>
              <w:pStyle w:val="ListBullet2"/>
            </w:pPr>
            <w:r w:rsidRPr="001068E6">
              <w:t>AS 1288:2006 Glass in buildings - Selection and installation</w:t>
            </w:r>
          </w:p>
          <w:p w:rsidR="00000000" w:rsidRPr="001068E6" w:rsidP="001068E6">
            <w:pPr>
              <w:pStyle w:val="ListBullet2"/>
            </w:pPr>
            <w:r w:rsidRPr="001068E6">
              <w:t>AS/NZS 2208:1996 Safety glazing materials in buildings</w:t>
            </w:r>
          </w:p>
          <w:p w:rsidR="00000000" w:rsidRPr="001068E6" w:rsidP="001068E6">
            <w:pPr>
              <w:pStyle w:val="ListBullet2"/>
            </w:pPr>
            <w:r w:rsidRPr="001068E6">
              <w:t>AS/NZS 4667:2000 Quality requirements for cut-to-size and processed glass</w:t>
            </w:r>
          </w:p>
          <w:p w:rsidR="00000000" w:rsidRPr="001068E6" w:rsidP="001068E6">
            <w:pPr>
              <w:pStyle w:val="ListBullet2"/>
            </w:pPr>
            <w:r w:rsidRPr="001068E6">
              <w:t xml:space="preserve">AS 2047:2014 Windows in buildings - Selection and installation </w:t>
            </w:r>
          </w:p>
          <w:p w:rsidR="00000000" w:rsidRPr="001068E6" w:rsidP="001068E6">
            <w:pPr>
              <w:pStyle w:val="ListBullet2"/>
            </w:pPr>
            <w:r w:rsidRPr="001068E6">
              <w:t>AS/NZS 4666:2012 Insulating glass units</w:t>
            </w:r>
          </w:p>
          <w:p w:rsidR="00000000" w:rsidRPr="001068E6" w:rsidP="001068E6">
            <w:pPr>
              <w:pStyle w:val="BodyText"/>
            </w:pPr>
            <w:r w:rsidRPr="001068E6">
              <w:t>Note, wherever Australi</w:t>
            </w:r>
            <w:r w:rsidRPr="001068E6">
              <w:t>an Standards are listed they apply at the time of publication, but the most current version (including amendments) or replacement versions are to be used.</w:t>
            </w:r>
          </w:p>
        </w:tc>
      </w:tr>
    </w:tbl>
    <w:p w:rsidR="00000000" w:rsidRPr="001068E6" w:rsidP="001068E6">
      <w:pPr>
        <w:pStyle w:val="BodyText"/>
      </w:pPr>
    </w:p>
    <w:p w:rsidR="00000000" w:rsidRPr="001068E6" w:rsidP="001068E6">
      <w:pPr>
        <w:pStyle w:val="AllowPageBreak"/>
      </w:pPr>
    </w:p>
    <w:p w:rsidR="00000000" w:rsidRPr="001068E6" w:rsidP="001068E6">
      <w:pPr>
        <w:pStyle w:val="Heading1"/>
      </w:pPr>
      <w:bookmarkStart w:id="9" w:name="O_798168"/>
      <w:bookmarkEnd w:id="9"/>
      <w:r w:rsidRPr="001068E6">
        <w:t>Unit Mapping Information</w:t>
      </w:r>
    </w:p>
    <w:p w:rsidR="00000000" w:rsidRPr="001068E6" w:rsidP="00A979A4">
      <w:pPr>
        <w:pStyle w:val="BodyText"/>
      </w:pPr>
      <w:r w:rsidRPr="001068E6">
        <w:t>Supersedes and is equivalent to LMFGG2008C Glaze/re-glaze residential windows and doors.</w:t>
      </w:r>
    </w:p>
    <w:p w:rsidR="00000000" w:rsidRPr="001068E6" w:rsidP="001068E6">
      <w:pPr>
        <w:pStyle w:val="Heading1"/>
      </w:pPr>
      <w:bookmarkStart w:id="10" w:name="O_798177"/>
      <w:bookmarkEnd w:id="10"/>
      <w:r w:rsidRPr="001068E6">
        <w:t>Links</w:t>
      </w:r>
    </w:p>
    <w:p w:rsidR="00000000" w:rsidRPr="001068E6" w:rsidP="00A979A4">
      <w:pPr>
        <w:pStyle w:val="BodyText"/>
      </w:pPr>
      <w:r w:rsidRPr="001068E6">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B4428C">
        <w:rPr>
          <w:rStyle w:val="Hyperlink"/>
        </w:rPr>
        <w:t>https://vetnet.education.gov.au/Pages/TrainingDocs.aspx?q=0601ab95-583a-4e93-b2d4-cfb27b03ed73</w:t>
      </w:r>
      <w:r>
        <w:fldChar w:fldCharType="end"/>
      </w:r>
    </w:p>
    <w:p w:rsidR="00000000" w:rsidRPr="001068E6" w:rsidP="001068E6"/>
    <w:sectPr w:rsidSect="001068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E6" w:rsidRPr="00A979A4" w:rsidP="00A97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A4" w:rsidP="00106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979A4" w:rsidP="001068E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79A4" w:rsidP="001068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8E6" w:rsidRPr="00A979A4" w:rsidP="00A979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A4" w:rsidRPr="002D2AF8" w:rsidP="001068E6">
    <w:pPr>
      <w:pStyle w:val="Header"/>
      <w:framePr w:wrap="around"/>
    </w:pPr>
    <w:r>
      <w:fldChar w:fldCharType="begin"/>
    </w:r>
    <w:r>
      <w:instrText xml:space="preserve"> TITLE   \* MERGEFORMAT </w:instrText>
    </w:r>
    <w:r>
      <w:fldChar w:fldCharType="separate"/>
    </w:r>
    <w:r>
      <w:t>MSFGG2008 Glaze and re-glaze residential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A979A4" w:rsidP="001068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5C0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4A7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221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8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8E6"/>
    <w:pPr>
      <w:spacing w:before="360" w:after="60"/>
      <w:outlineLvl w:val="0"/>
    </w:pPr>
    <w:rPr>
      <w:sz w:val="32"/>
    </w:rPr>
  </w:style>
  <w:style w:type="paragraph" w:styleId="Heading2">
    <w:name w:val="heading 2"/>
    <w:basedOn w:val="HeadingBase"/>
    <w:next w:val="BodyText"/>
    <w:link w:val="Heading2Char"/>
    <w:qFormat/>
    <w:rsid w:val="001068E6"/>
    <w:pPr>
      <w:keepLines/>
      <w:spacing w:before="240" w:after="120"/>
      <w:outlineLvl w:val="1"/>
    </w:pPr>
    <w:rPr>
      <w:sz w:val="28"/>
      <w:szCs w:val="40"/>
    </w:rPr>
  </w:style>
  <w:style w:type="paragraph" w:styleId="Heading3">
    <w:name w:val="heading 3"/>
    <w:basedOn w:val="HeadingBase"/>
    <w:next w:val="BodyText"/>
    <w:link w:val="Heading3Char"/>
    <w:qFormat/>
    <w:rsid w:val="001068E6"/>
    <w:pPr>
      <w:spacing w:before="180" w:after="120"/>
      <w:outlineLvl w:val="2"/>
    </w:pPr>
    <w:rPr>
      <w:spacing w:val="-10"/>
      <w:kern w:val="32"/>
    </w:rPr>
  </w:style>
  <w:style w:type="paragraph" w:styleId="Heading4">
    <w:name w:val="heading 4"/>
    <w:basedOn w:val="HeadingBase"/>
    <w:next w:val="BodyText"/>
    <w:link w:val="Heading4Char"/>
    <w:qFormat/>
    <w:rsid w:val="001068E6"/>
    <w:pPr>
      <w:spacing w:before="160" w:after="120"/>
      <w:outlineLvl w:val="3"/>
    </w:pPr>
    <w:rPr>
      <w:sz w:val="22"/>
    </w:rPr>
  </w:style>
  <w:style w:type="paragraph" w:styleId="Heading5">
    <w:name w:val="heading 5"/>
    <w:basedOn w:val="HeadingBase"/>
    <w:next w:val="Normal"/>
    <w:link w:val="Heading5Char"/>
    <w:qFormat/>
    <w:rsid w:val="001068E6"/>
    <w:pPr>
      <w:spacing w:before="80"/>
      <w:outlineLvl w:val="4"/>
    </w:pPr>
    <w:rPr>
      <w:color w:val="918585"/>
      <w:sz w:val="20"/>
    </w:rPr>
  </w:style>
  <w:style w:type="paragraph" w:styleId="Heading6">
    <w:name w:val="heading 6"/>
    <w:basedOn w:val="HeadingBase"/>
    <w:next w:val="Normal"/>
    <w:link w:val="Heading6Char"/>
    <w:qFormat/>
    <w:rsid w:val="001068E6"/>
    <w:pPr>
      <w:spacing w:before="60"/>
      <w:outlineLvl w:val="5"/>
    </w:pPr>
    <w:rPr>
      <w:color w:val="918585"/>
      <w:sz w:val="20"/>
    </w:rPr>
  </w:style>
  <w:style w:type="paragraph" w:styleId="Heading7">
    <w:name w:val="heading 7"/>
    <w:basedOn w:val="Normal"/>
    <w:next w:val="Normal"/>
    <w:link w:val="Heading7Char"/>
    <w:qFormat/>
    <w:rsid w:val="001068E6"/>
    <w:pPr>
      <w:ind w:left="720"/>
      <w:outlineLvl w:val="6"/>
    </w:pPr>
    <w:rPr>
      <w:i/>
    </w:rPr>
  </w:style>
  <w:style w:type="paragraph" w:styleId="Heading8">
    <w:name w:val="heading 8"/>
    <w:basedOn w:val="Normal"/>
    <w:next w:val="Normal"/>
    <w:link w:val="Heading8Char"/>
    <w:qFormat/>
    <w:rsid w:val="001068E6"/>
    <w:pPr>
      <w:ind w:left="720"/>
      <w:outlineLvl w:val="7"/>
    </w:pPr>
    <w:rPr>
      <w:i/>
    </w:rPr>
  </w:style>
  <w:style w:type="paragraph" w:styleId="Heading9">
    <w:name w:val="heading 9"/>
    <w:basedOn w:val="Normal"/>
    <w:next w:val="Normal"/>
    <w:link w:val="Heading9Char"/>
    <w:qFormat/>
    <w:rsid w:val="001068E6"/>
    <w:pPr>
      <w:ind w:left="720"/>
      <w:outlineLvl w:val="8"/>
    </w:pPr>
    <w:rPr>
      <w:i/>
    </w:rPr>
  </w:style>
  <w:style w:type="character" w:default="1" w:styleId="DefaultParagraphFont">
    <w:name w:val="Default Paragraph Font"/>
    <w:uiPriority w:val="1"/>
    <w:unhideWhenUsed/>
    <w:rsid w:val="00106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8E6"/>
  </w:style>
  <w:style w:type="character" w:customStyle="1" w:styleId="Heading1Char">
    <w:name w:val="Heading 1 Char"/>
    <w:basedOn w:val="DefaultParagraphFont"/>
    <w:link w:val="Heading1"/>
    <w:rsid w:val="001068E6"/>
    <w:rPr>
      <w:rFonts w:ascii="Times New Roman" w:eastAsia="Times New Roman" w:hAnsi="Times New Roman" w:cs="Times New Roman"/>
      <w:b/>
      <w:sz w:val="32"/>
      <w:szCs w:val="20"/>
      <w:lang w:eastAsia="en-US"/>
    </w:rPr>
  </w:style>
  <w:style w:type="paragraph" w:styleId="BodyText">
    <w:name w:val="Body Text"/>
    <w:basedOn w:val="Normal"/>
    <w:link w:val="BodyTextChar"/>
    <w:rsid w:val="001068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8E6"/>
    <w:rPr>
      <w:rFonts w:ascii="Times New Roman" w:eastAsia="Times New Roman" w:hAnsi="Times New Roman" w:cs="Times New Roman"/>
      <w:sz w:val="24"/>
      <w:lang w:eastAsia="en-US"/>
    </w:rPr>
  </w:style>
  <w:style w:type="paragraph" w:styleId="ListBullet">
    <w:name w:val="List Bullet"/>
    <w:basedOn w:val="List"/>
    <w:rsid w:val="001068E6"/>
    <w:pPr>
      <w:numPr>
        <w:numId w:val="13"/>
      </w:numPr>
      <w:tabs>
        <w:tab w:val="clear" w:pos="340"/>
      </w:tabs>
      <w:spacing w:before="40" w:after="40"/>
    </w:pPr>
  </w:style>
  <w:style w:type="character" w:customStyle="1" w:styleId="SpecialBold">
    <w:name w:val="Special Bold"/>
    <w:basedOn w:val="DefaultParagraphFont"/>
    <w:rsid w:val="001068E6"/>
    <w:rPr>
      <w:b/>
      <w:spacing w:val="0"/>
    </w:rPr>
  </w:style>
  <w:style w:type="paragraph" w:styleId="ListBullet2">
    <w:name w:val="List Bullet 2"/>
    <w:basedOn w:val="List2"/>
    <w:rsid w:val="001068E6"/>
    <w:pPr>
      <w:numPr>
        <w:numId w:val="14"/>
      </w:numPr>
      <w:tabs>
        <w:tab w:val="clear" w:pos="680"/>
      </w:tabs>
    </w:pPr>
  </w:style>
  <w:style w:type="paragraph" w:customStyle="1" w:styleId="SuperHeading">
    <w:name w:val="SuperHeading"/>
    <w:basedOn w:val="Normal"/>
    <w:rsid w:val="001068E6"/>
    <w:pPr>
      <w:spacing w:before="240" w:after="120"/>
      <w:outlineLvl w:val="0"/>
    </w:pPr>
    <w:rPr>
      <w:rFonts w:ascii="Times New Roman" w:hAnsi="Times New Roman"/>
      <w:b/>
      <w:sz w:val="32"/>
    </w:rPr>
  </w:style>
  <w:style w:type="paragraph" w:customStyle="1" w:styleId="AllowPageBreak">
    <w:name w:val="AllowPageBreak"/>
    <w:rsid w:val="001068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8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8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8E6"/>
    <w:rPr>
      <w:rFonts w:ascii="Courier New" w:eastAsia="Times New Roman" w:hAnsi="Courier New" w:cs="Times New Roman"/>
      <w:i/>
      <w:szCs w:val="20"/>
      <w:lang w:eastAsia="en-US"/>
    </w:rPr>
  </w:style>
  <w:style w:type="paragraph" w:customStyle="1" w:styleId="HeadingBase">
    <w:name w:val="Heading Base"/>
    <w:rsid w:val="00106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8E6"/>
    <w:pPr>
      <w:tabs>
        <w:tab w:val="right" w:leader="dot" w:pos="9072"/>
      </w:tabs>
      <w:ind w:left="567"/>
    </w:pPr>
    <w:rPr>
      <w:szCs w:val="22"/>
    </w:rPr>
  </w:style>
  <w:style w:type="paragraph" w:customStyle="1" w:styleId="TOCBase">
    <w:name w:val="TOC Base"/>
    <w:rsid w:val="00106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8E6"/>
    <w:pPr>
      <w:tabs>
        <w:tab w:val="right" w:leader="dot" w:pos="9072"/>
      </w:tabs>
      <w:spacing w:before="40" w:after="40"/>
      <w:ind w:left="284"/>
    </w:pPr>
    <w:rPr>
      <w:rFonts w:ascii="Times New Roman" w:hAnsi="Times New Roman"/>
    </w:rPr>
  </w:style>
  <w:style w:type="paragraph" w:styleId="TOC1">
    <w:name w:val="toc 1"/>
    <w:basedOn w:val="TOCBase"/>
    <w:next w:val="Normal"/>
    <w:rsid w:val="001068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8E6"/>
    <w:rPr>
      <w:rFonts w:ascii="Times New Roman" w:eastAsia="Times New Roman" w:hAnsi="Times New Roman" w:cs="Times New Roman"/>
      <w:sz w:val="16"/>
      <w:lang w:eastAsia="en-US"/>
    </w:rPr>
  </w:style>
  <w:style w:type="paragraph" w:styleId="Title">
    <w:name w:val="Title"/>
    <w:basedOn w:val="HeadingBase"/>
    <w:link w:val="TitleChar"/>
    <w:qFormat/>
    <w:rsid w:val="001068E6"/>
    <w:pPr>
      <w:spacing w:before="5040"/>
      <w:jc w:val="center"/>
    </w:pPr>
    <w:rPr>
      <w:sz w:val="48"/>
      <w:szCs w:val="72"/>
      <w:lang w:val="en-US"/>
    </w:rPr>
  </w:style>
  <w:style w:type="character" w:customStyle="1" w:styleId="TitleChar">
    <w:name w:val="Title Char"/>
    <w:basedOn w:val="DefaultParagraphFont"/>
    <w:link w:val="Title"/>
    <w:rsid w:val="00106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8E6"/>
    <w:pPr>
      <w:tabs>
        <w:tab w:val="left" w:pos="3600"/>
        <w:tab w:val="left" w:pos="3958"/>
      </w:tabs>
    </w:pPr>
  </w:style>
  <w:style w:type="paragraph" w:styleId="List">
    <w:name w:val="List"/>
    <w:basedOn w:val="BodyText"/>
    <w:next w:val="BodyText"/>
    <w:rsid w:val="001068E6"/>
    <w:pPr>
      <w:tabs>
        <w:tab w:val="left" w:pos="340"/>
      </w:tabs>
      <w:spacing w:before="60" w:after="60"/>
      <w:ind w:left="340" w:hanging="340"/>
    </w:pPr>
  </w:style>
  <w:style w:type="paragraph" w:customStyle="1" w:styleId="Note">
    <w:name w:val="Note"/>
    <w:basedOn w:val="BodyText"/>
    <w:rsid w:val="00106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8E6"/>
    <w:pPr>
      <w:framePr w:wrap="auto" w:hAnchor="text" w:y="6049"/>
    </w:pPr>
    <w:rPr>
      <w:color w:val="000000"/>
      <w:sz w:val="40"/>
    </w:rPr>
  </w:style>
  <w:style w:type="paragraph" w:customStyle="1" w:styleId="TOCTitle">
    <w:name w:val="TOCTitle"/>
    <w:basedOn w:val="Heading1"/>
    <w:rsid w:val="001068E6"/>
    <w:pPr>
      <w:spacing w:after="240"/>
      <w:jc w:val="center"/>
      <w:outlineLvl w:val="9"/>
    </w:pPr>
    <w:rPr>
      <w:caps/>
    </w:rPr>
  </w:style>
  <w:style w:type="paragraph" w:customStyle="1" w:styleId="Version">
    <w:name w:val="Version"/>
    <w:rsid w:val="001068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8E6"/>
    <w:pPr>
      <w:keepNext w:val="0"/>
      <w:tabs>
        <w:tab w:val="right" w:pos="4176"/>
      </w:tabs>
      <w:ind w:left="198" w:hanging="198"/>
    </w:pPr>
    <w:rPr>
      <w:rFonts w:ascii="Garamond" w:hAnsi="Garamond"/>
    </w:rPr>
  </w:style>
  <w:style w:type="paragraph" w:styleId="IndexHeading">
    <w:name w:val="index heading"/>
    <w:basedOn w:val="Normal"/>
    <w:next w:val="Index1"/>
    <w:semiHidden/>
    <w:rsid w:val="001068E6"/>
    <w:pPr>
      <w:spacing w:before="120" w:after="120"/>
    </w:pPr>
    <w:rPr>
      <w:rFonts w:ascii="Arial" w:hAnsi="Arial"/>
      <w:b/>
      <w:color w:val="918585"/>
      <w:sz w:val="24"/>
    </w:rPr>
  </w:style>
  <w:style w:type="paragraph" w:styleId="Header">
    <w:name w:val="header"/>
    <w:basedOn w:val="Normal"/>
    <w:link w:val="HeaderChar"/>
    <w:rsid w:val="00106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8E6"/>
    <w:rPr>
      <w:rFonts w:ascii="Times New Roman" w:eastAsia="Times New Roman" w:hAnsi="Times New Roman" w:cs="Times New Roman"/>
      <w:sz w:val="16"/>
      <w:szCs w:val="20"/>
      <w:lang w:val="en-GB" w:eastAsia="en-US"/>
    </w:rPr>
  </w:style>
  <w:style w:type="paragraph" w:customStyle="1" w:styleId="Chapter">
    <w:name w:val="Chapter"/>
    <w:basedOn w:val="Normal"/>
    <w:rsid w:val="001068E6"/>
    <w:pPr>
      <w:spacing w:before="240"/>
    </w:pPr>
    <w:rPr>
      <w:rFonts w:ascii="Times New Roman" w:hAnsi="Times New Roman"/>
      <w:smallCaps/>
      <w:spacing w:val="80"/>
      <w:sz w:val="28"/>
    </w:rPr>
  </w:style>
  <w:style w:type="paragraph" w:customStyle="1" w:styleId="InChapter">
    <w:name w:val="InChapter"/>
    <w:basedOn w:val="Heading3"/>
    <w:rsid w:val="001068E6"/>
    <w:pPr>
      <w:spacing w:after="240"/>
      <w:outlineLvl w:val="9"/>
    </w:pPr>
    <w:rPr>
      <w:noProof/>
    </w:rPr>
  </w:style>
  <w:style w:type="paragraph" w:styleId="Index2">
    <w:name w:val="index 2"/>
    <w:basedOn w:val="Normal"/>
    <w:next w:val="Normal"/>
    <w:semiHidden/>
    <w:rsid w:val="001068E6"/>
    <w:pPr>
      <w:tabs>
        <w:tab w:val="right" w:pos="4176"/>
      </w:tabs>
      <w:ind w:left="568" w:hanging="284"/>
    </w:pPr>
    <w:rPr>
      <w:rFonts w:ascii="Garamond" w:hAnsi="Garamond"/>
    </w:rPr>
  </w:style>
  <w:style w:type="paragraph" w:customStyle="1" w:styleId="Byline">
    <w:name w:val="Byline"/>
    <w:rsid w:val="00106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8E6"/>
    <w:pPr>
      <w:tabs>
        <w:tab w:val="clear" w:pos="3600"/>
        <w:tab w:val="clear" w:pos="3958"/>
      </w:tabs>
      <w:jc w:val="right"/>
    </w:pPr>
  </w:style>
  <w:style w:type="character" w:styleId="Emphasis">
    <w:name w:val="Emphasis"/>
    <w:basedOn w:val="DefaultParagraphFont"/>
    <w:qFormat/>
    <w:rsid w:val="001068E6"/>
    <w:rPr>
      <w:i/>
    </w:rPr>
  </w:style>
  <w:style w:type="paragraph" w:styleId="Caption">
    <w:name w:val="caption"/>
    <w:basedOn w:val="BodyText"/>
    <w:next w:val="Normal"/>
    <w:qFormat/>
    <w:rsid w:val="001068E6"/>
    <w:pPr>
      <w:framePr w:w="2268" w:hSpace="181" w:vSpace="181" w:wrap="around" w:vAnchor="text" w:hAnchor="page" w:x="1135" w:y="285" w:anchorLock="1"/>
    </w:pPr>
    <w:rPr>
      <w:i/>
    </w:rPr>
  </w:style>
  <w:style w:type="paragraph" w:customStyle="1" w:styleId="MiniTOCTitle">
    <w:name w:val="MiniTOCTitle"/>
    <w:basedOn w:val="Heading4"/>
    <w:rsid w:val="001068E6"/>
    <w:pPr>
      <w:spacing w:before="240"/>
      <w:outlineLvl w:val="9"/>
    </w:pPr>
    <w:rPr>
      <w:noProof/>
      <w:sz w:val="24"/>
    </w:rPr>
  </w:style>
  <w:style w:type="paragraph" w:customStyle="1" w:styleId="MiniTOCItem">
    <w:name w:val="MiniTOCItem"/>
    <w:basedOn w:val="ListBullet"/>
    <w:rsid w:val="001068E6"/>
    <w:pPr>
      <w:numPr>
        <w:numId w:val="0"/>
      </w:numPr>
      <w:tabs>
        <w:tab w:val="right" w:leader="dot" w:pos="6521"/>
      </w:tabs>
      <w:spacing w:before="0" w:after="0"/>
    </w:pPr>
  </w:style>
  <w:style w:type="paragraph" w:customStyle="1" w:styleId="TOFTitle">
    <w:name w:val="TOFTitle"/>
    <w:basedOn w:val="TOCTitle"/>
    <w:rsid w:val="001068E6"/>
  </w:style>
  <w:style w:type="paragraph" w:styleId="TableofFigures">
    <w:name w:val="table of figures"/>
    <w:basedOn w:val="Normal"/>
    <w:next w:val="Normal"/>
    <w:semiHidden/>
    <w:rsid w:val="001068E6"/>
    <w:pPr>
      <w:tabs>
        <w:tab w:val="right" w:leader="dot" w:pos="9072"/>
      </w:tabs>
      <w:ind w:left="970" w:hanging="403"/>
    </w:pPr>
    <w:rPr>
      <w:rFonts w:ascii="Times New Roman" w:hAnsi="Times New Roman"/>
      <w:b/>
    </w:rPr>
  </w:style>
  <w:style w:type="paragraph" w:styleId="ListNumber">
    <w:name w:val="List Number"/>
    <w:basedOn w:val="List"/>
    <w:rsid w:val="001068E6"/>
    <w:pPr>
      <w:numPr>
        <w:numId w:val="11"/>
      </w:numPr>
    </w:pPr>
  </w:style>
  <w:style w:type="character" w:customStyle="1" w:styleId="WingdingSymbols">
    <w:name w:val="Wingding Symbols"/>
    <w:rsid w:val="001068E6"/>
    <w:rPr>
      <w:rFonts w:ascii="Wingdings" w:hAnsi="Wingdings"/>
    </w:rPr>
  </w:style>
  <w:style w:type="paragraph" w:customStyle="1" w:styleId="TableHeading">
    <w:name w:val="Table Heading"/>
    <w:basedOn w:val="HeadingBase"/>
    <w:rsid w:val="001068E6"/>
    <w:pPr>
      <w:keepLines/>
      <w:pBdr>
        <w:bottom w:val="single" w:sz="6" w:space="1" w:color="918585"/>
      </w:pBdr>
      <w:spacing w:before="240"/>
    </w:pPr>
  </w:style>
  <w:style w:type="character" w:customStyle="1" w:styleId="HotSpot">
    <w:name w:val="HotSpot"/>
    <w:rsid w:val="001068E6"/>
    <w:rPr>
      <w:color w:val="0033CC"/>
      <w:u w:val="none"/>
    </w:rPr>
  </w:style>
  <w:style w:type="paragraph" w:customStyle="1" w:styleId="BodyTextRight">
    <w:name w:val="Body Text Right"/>
    <w:basedOn w:val="BodyText"/>
    <w:rsid w:val="001068E6"/>
    <w:pPr>
      <w:spacing w:before="0" w:after="0"/>
      <w:jc w:val="right"/>
    </w:pPr>
  </w:style>
  <w:style w:type="paragraph" w:styleId="Index3">
    <w:name w:val="index 3"/>
    <w:basedOn w:val="ListNumber2"/>
    <w:next w:val="Normal"/>
    <w:semiHidden/>
    <w:rsid w:val="001068E6"/>
    <w:pPr>
      <w:numPr>
        <w:numId w:val="0"/>
      </w:numPr>
      <w:tabs>
        <w:tab w:val="right" w:leader="dot" w:pos="4176"/>
      </w:tabs>
    </w:pPr>
  </w:style>
  <w:style w:type="paragraph" w:styleId="ListNumber2">
    <w:name w:val="List Number 2"/>
    <w:basedOn w:val="List2"/>
    <w:rsid w:val="001068E6"/>
    <w:pPr>
      <w:numPr>
        <w:numId w:val="10"/>
      </w:numPr>
      <w:tabs>
        <w:tab w:val="clear" w:pos="1060"/>
      </w:tabs>
    </w:pPr>
  </w:style>
  <w:style w:type="paragraph" w:customStyle="1" w:styleId="MarginNote">
    <w:name w:val="Margin Note"/>
    <w:basedOn w:val="BodyText"/>
    <w:rsid w:val="00106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8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8E6"/>
    <w:rPr>
      <w:sz w:val="32"/>
    </w:rPr>
  </w:style>
  <w:style w:type="paragraph" w:customStyle="1" w:styleId="HeadingProcedure">
    <w:name w:val="Heading Procedure"/>
    <w:basedOn w:val="HeadingBase"/>
    <w:next w:val="Normal"/>
    <w:rsid w:val="001068E6"/>
    <w:pPr>
      <w:tabs>
        <w:tab w:val="left" w:pos="0"/>
      </w:tabs>
      <w:spacing w:before="120" w:after="60"/>
    </w:pPr>
    <w:rPr>
      <w:i/>
      <w:color w:val="918585"/>
      <w:sz w:val="22"/>
    </w:rPr>
  </w:style>
  <w:style w:type="paragraph" w:customStyle="1" w:styleId="TableBodyText">
    <w:name w:val="Table Body Text"/>
    <w:basedOn w:val="BodyText"/>
    <w:rsid w:val="001068E6"/>
    <w:pPr>
      <w:spacing w:before="60" w:after="60"/>
    </w:pPr>
  </w:style>
  <w:style w:type="paragraph" w:styleId="ListContinue">
    <w:name w:val="List Continue"/>
    <w:basedOn w:val="List"/>
    <w:rsid w:val="001068E6"/>
    <w:pPr>
      <w:ind w:firstLine="0"/>
    </w:pPr>
  </w:style>
  <w:style w:type="paragraph" w:customStyle="1" w:styleId="ListNote">
    <w:name w:val="List Note"/>
    <w:basedOn w:val="List"/>
    <w:rsid w:val="001068E6"/>
    <w:pPr>
      <w:pBdr>
        <w:top w:val="single" w:sz="6" w:space="2" w:color="918585"/>
        <w:bottom w:val="single" w:sz="6" w:space="2" w:color="918585"/>
      </w:pBdr>
      <w:tabs>
        <w:tab w:val="left" w:pos="1021"/>
      </w:tabs>
      <w:ind w:firstLine="0"/>
    </w:pPr>
  </w:style>
  <w:style w:type="paragraph" w:customStyle="1" w:styleId="Warning">
    <w:name w:val="Warning"/>
    <w:basedOn w:val="BodyText"/>
    <w:rsid w:val="001068E6"/>
    <w:pPr>
      <w:shd w:val="clear" w:color="auto" w:fill="D9D9D9"/>
      <w:tabs>
        <w:tab w:val="left" w:pos="992"/>
      </w:tabs>
      <w:ind w:left="119" w:right="119"/>
    </w:pPr>
    <w:rPr>
      <w:sz w:val="20"/>
    </w:rPr>
  </w:style>
  <w:style w:type="paragraph" w:customStyle="1" w:styleId="MarginIcons">
    <w:name w:val="Margin Icons"/>
    <w:basedOn w:val="BodyText"/>
    <w:rsid w:val="00106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8E6"/>
    <w:rPr>
      <w:rFonts w:ascii="Courier New" w:hAnsi="Courier New"/>
    </w:rPr>
  </w:style>
  <w:style w:type="paragraph" w:customStyle="1" w:styleId="NoteBullet">
    <w:name w:val="Note Bullet"/>
    <w:basedOn w:val="Note"/>
    <w:rsid w:val="001068E6"/>
    <w:pPr>
      <w:tabs>
        <w:tab w:val="clear" w:pos="680"/>
      </w:tabs>
      <w:spacing w:before="60" w:after="60"/>
    </w:pPr>
  </w:style>
  <w:style w:type="paragraph" w:customStyle="1" w:styleId="SubHeading2">
    <w:name w:val="SubHeading2"/>
    <w:basedOn w:val="HeadingBase"/>
    <w:rsid w:val="001068E6"/>
    <w:pPr>
      <w:spacing w:before="240" w:after="60"/>
    </w:pPr>
    <w:rPr>
      <w:sz w:val="20"/>
    </w:rPr>
  </w:style>
  <w:style w:type="paragraph" w:customStyle="1" w:styleId="SubHeading1">
    <w:name w:val="SubHeading1"/>
    <w:basedOn w:val="HeadingBase"/>
    <w:rsid w:val="001068E6"/>
    <w:pPr>
      <w:spacing w:before="240" w:after="60"/>
    </w:pPr>
    <w:rPr>
      <w:color w:val="918585"/>
      <w:sz w:val="22"/>
    </w:rPr>
  </w:style>
  <w:style w:type="paragraph" w:customStyle="1" w:styleId="SideHeading">
    <w:name w:val="Side Heading"/>
    <w:basedOn w:val="HeadingBase"/>
    <w:rsid w:val="00106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8E6"/>
    <w:pPr>
      <w:numPr>
        <w:numId w:val="12"/>
      </w:numPr>
    </w:pPr>
  </w:style>
  <w:style w:type="paragraph" w:styleId="PlainText">
    <w:name w:val="Plain Text"/>
    <w:basedOn w:val="Normal"/>
    <w:link w:val="PlainTextChar"/>
    <w:rsid w:val="001068E6"/>
    <w:rPr>
      <w:sz w:val="20"/>
    </w:rPr>
  </w:style>
  <w:style w:type="character" w:customStyle="1" w:styleId="PlainTextChar">
    <w:name w:val="Plain Text Char"/>
    <w:basedOn w:val="DefaultParagraphFont"/>
    <w:link w:val="PlainText"/>
    <w:rsid w:val="001068E6"/>
    <w:rPr>
      <w:rFonts w:ascii="Courier New" w:eastAsia="Times New Roman" w:hAnsi="Courier New" w:cs="Times New Roman"/>
      <w:sz w:val="20"/>
      <w:szCs w:val="20"/>
      <w:lang w:eastAsia="en-US"/>
    </w:rPr>
  </w:style>
  <w:style w:type="character" w:customStyle="1" w:styleId="MenuOption">
    <w:name w:val="Menu Option"/>
    <w:basedOn w:val="DefaultParagraphFont"/>
    <w:rsid w:val="001068E6"/>
    <w:rPr>
      <w:b/>
      <w:smallCaps/>
    </w:rPr>
  </w:style>
  <w:style w:type="paragraph" w:customStyle="1" w:styleId="TableListNumber">
    <w:name w:val="Table List Number"/>
    <w:basedOn w:val="ListNumber"/>
    <w:rsid w:val="001068E6"/>
    <w:pPr>
      <w:numPr>
        <w:numId w:val="0"/>
      </w:numPr>
    </w:pPr>
  </w:style>
  <w:style w:type="paragraph" w:styleId="TOC4">
    <w:name w:val="toc 4"/>
    <w:basedOn w:val="TOCBase"/>
    <w:next w:val="Normal"/>
    <w:semiHidden/>
    <w:rsid w:val="001068E6"/>
    <w:pPr>
      <w:tabs>
        <w:tab w:val="right" w:leader="dot" w:pos="9071"/>
      </w:tabs>
      <w:ind w:left="1701"/>
    </w:pPr>
  </w:style>
  <w:style w:type="paragraph" w:customStyle="1" w:styleId="ListAlpha">
    <w:name w:val="List Alpha"/>
    <w:basedOn w:val="List"/>
    <w:rsid w:val="001068E6"/>
    <w:pPr>
      <w:numPr>
        <w:numId w:val="9"/>
      </w:numPr>
    </w:pPr>
  </w:style>
  <w:style w:type="paragraph" w:customStyle="1" w:styleId="ListAlpha2">
    <w:name w:val="List Alpha 2"/>
    <w:basedOn w:val="List2"/>
    <w:rsid w:val="001068E6"/>
    <w:pPr>
      <w:numPr>
        <w:numId w:val="8"/>
      </w:numPr>
    </w:pPr>
  </w:style>
  <w:style w:type="paragraph" w:styleId="List2">
    <w:name w:val="List 2"/>
    <w:basedOn w:val="BodyText"/>
    <w:rsid w:val="001068E6"/>
    <w:pPr>
      <w:tabs>
        <w:tab w:val="left" w:pos="680"/>
      </w:tabs>
      <w:spacing w:before="60" w:after="60"/>
      <w:ind w:left="680" w:hanging="340"/>
    </w:pPr>
  </w:style>
  <w:style w:type="paragraph" w:styleId="List3">
    <w:name w:val="List 3"/>
    <w:basedOn w:val="BodyText"/>
    <w:rsid w:val="001068E6"/>
    <w:pPr>
      <w:tabs>
        <w:tab w:val="left" w:pos="1021"/>
      </w:tabs>
      <w:spacing w:before="60" w:after="60"/>
      <w:ind w:left="1020" w:hanging="340"/>
    </w:pPr>
  </w:style>
  <w:style w:type="paragraph" w:styleId="List4">
    <w:name w:val="List 4"/>
    <w:basedOn w:val="BodyText"/>
    <w:rsid w:val="001068E6"/>
    <w:pPr>
      <w:tabs>
        <w:tab w:val="left" w:pos="1361"/>
      </w:tabs>
      <w:spacing w:before="60" w:after="60"/>
      <w:ind w:left="1361" w:hanging="340"/>
    </w:pPr>
  </w:style>
  <w:style w:type="paragraph" w:styleId="List5">
    <w:name w:val="List 5"/>
    <w:basedOn w:val="BodyText"/>
    <w:rsid w:val="001068E6"/>
    <w:pPr>
      <w:tabs>
        <w:tab w:val="left" w:pos="1701"/>
      </w:tabs>
      <w:spacing w:before="60" w:after="60"/>
      <w:ind w:left="1701" w:hanging="340"/>
    </w:pPr>
  </w:style>
  <w:style w:type="paragraph" w:styleId="ListBullet3">
    <w:name w:val="List Bullet 3"/>
    <w:basedOn w:val="List3"/>
    <w:rsid w:val="001068E6"/>
    <w:pPr>
      <w:numPr>
        <w:numId w:val="15"/>
      </w:numPr>
      <w:tabs>
        <w:tab w:val="clear" w:pos="1021"/>
      </w:tabs>
      <w:ind w:left="1037" w:hanging="357"/>
    </w:pPr>
  </w:style>
  <w:style w:type="paragraph" w:styleId="ListBullet4">
    <w:name w:val="List Bullet 4"/>
    <w:basedOn w:val="List4"/>
    <w:rsid w:val="001068E6"/>
    <w:pPr>
      <w:numPr>
        <w:numId w:val="3"/>
      </w:numPr>
      <w:tabs>
        <w:tab w:val="clear" w:pos="1361"/>
      </w:tabs>
    </w:pPr>
  </w:style>
  <w:style w:type="paragraph" w:styleId="ListBullet5">
    <w:name w:val="List Bullet 5"/>
    <w:basedOn w:val="List5"/>
    <w:rsid w:val="001068E6"/>
    <w:pPr>
      <w:numPr>
        <w:numId w:val="4"/>
      </w:numPr>
    </w:pPr>
  </w:style>
  <w:style w:type="paragraph" w:styleId="ListContinue2">
    <w:name w:val="List Continue 2"/>
    <w:basedOn w:val="List2"/>
    <w:rsid w:val="001068E6"/>
    <w:pPr>
      <w:ind w:firstLine="0"/>
    </w:pPr>
  </w:style>
  <w:style w:type="paragraph" w:styleId="ListContinue3">
    <w:name w:val="List Continue 3"/>
    <w:basedOn w:val="List3"/>
    <w:rsid w:val="001068E6"/>
    <w:pPr>
      <w:ind w:left="1021" w:firstLine="0"/>
    </w:pPr>
  </w:style>
  <w:style w:type="paragraph" w:styleId="ListContinue4">
    <w:name w:val="List Continue 4"/>
    <w:basedOn w:val="List4"/>
    <w:rsid w:val="001068E6"/>
    <w:pPr>
      <w:ind w:firstLine="0"/>
    </w:pPr>
  </w:style>
  <w:style w:type="paragraph" w:styleId="ListContinue5">
    <w:name w:val="List Continue 5"/>
    <w:basedOn w:val="List5"/>
    <w:rsid w:val="001068E6"/>
    <w:pPr>
      <w:ind w:firstLine="0"/>
    </w:pPr>
  </w:style>
  <w:style w:type="paragraph" w:styleId="ListNumber3">
    <w:name w:val="List Number 3"/>
    <w:basedOn w:val="List3"/>
    <w:rsid w:val="001068E6"/>
    <w:pPr>
      <w:numPr>
        <w:numId w:val="5"/>
      </w:numPr>
    </w:pPr>
  </w:style>
  <w:style w:type="paragraph" w:styleId="ListNumber4">
    <w:name w:val="List Number 4"/>
    <w:basedOn w:val="List4"/>
    <w:rsid w:val="001068E6"/>
    <w:pPr>
      <w:numPr>
        <w:numId w:val="6"/>
      </w:numPr>
    </w:pPr>
  </w:style>
  <w:style w:type="paragraph" w:styleId="ListNumber5">
    <w:name w:val="List Number 5"/>
    <w:basedOn w:val="List5"/>
    <w:rsid w:val="001068E6"/>
    <w:pPr>
      <w:numPr>
        <w:numId w:val="7"/>
      </w:numPr>
    </w:pPr>
  </w:style>
  <w:style w:type="paragraph" w:styleId="BlockText">
    <w:name w:val="Block Text"/>
    <w:basedOn w:val="Normal"/>
    <w:rsid w:val="001068E6"/>
    <w:pPr>
      <w:spacing w:after="120"/>
      <w:ind w:left="1440" w:right="1440"/>
    </w:pPr>
  </w:style>
  <w:style w:type="character" w:customStyle="1" w:styleId="Subscript">
    <w:name w:val="Subscript"/>
    <w:basedOn w:val="DefaultParagraphFont"/>
    <w:rsid w:val="001068E6"/>
    <w:rPr>
      <w:sz w:val="16"/>
      <w:vertAlign w:val="subscript"/>
    </w:rPr>
  </w:style>
  <w:style w:type="character" w:customStyle="1" w:styleId="Superscript">
    <w:name w:val="Superscript"/>
    <w:basedOn w:val="DefaultParagraphFont"/>
    <w:rsid w:val="001068E6"/>
    <w:rPr>
      <w:sz w:val="16"/>
      <w:vertAlign w:val="superscript"/>
    </w:rPr>
  </w:style>
  <w:style w:type="character" w:customStyle="1" w:styleId="Symbols">
    <w:name w:val="Symbols"/>
    <w:basedOn w:val="DefaultParagraphFont"/>
    <w:rsid w:val="001068E6"/>
    <w:rPr>
      <w:rFonts w:ascii="Symbol" w:hAnsi="Symbol"/>
    </w:rPr>
  </w:style>
  <w:style w:type="character" w:customStyle="1" w:styleId="MenuOptions">
    <w:name w:val="Menu Options"/>
    <w:basedOn w:val="DefaultParagraphFont"/>
    <w:rsid w:val="001068E6"/>
    <w:rPr>
      <w:rFonts w:ascii="Arial Narrow" w:hAnsi="Arial Narrow"/>
      <w:smallCaps/>
    </w:rPr>
  </w:style>
  <w:style w:type="character" w:customStyle="1" w:styleId="Buttons">
    <w:name w:val="Buttons"/>
    <w:basedOn w:val="DefaultParagraphFont"/>
    <w:rsid w:val="001068E6"/>
    <w:rPr>
      <w:b/>
    </w:rPr>
  </w:style>
  <w:style w:type="character" w:customStyle="1" w:styleId="Underlined">
    <w:name w:val="Underlined"/>
    <w:basedOn w:val="DefaultParagraphFont"/>
    <w:rsid w:val="001068E6"/>
    <w:rPr>
      <w:u w:val="single"/>
    </w:rPr>
  </w:style>
  <w:style w:type="paragraph" w:customStyle="1" w:styleId="TableBodyTextRight">
    <w:name w:val="Table Body Text Right"/>
    <w:basedOn w:val="TableBodyText"/>
    <w:rsid w:val="001068E6"/>
    <w:pPr>
      <w:widowControl w:val="0"/>
      <w:autoSpaceDE w:val="0"/>
      <w:autoSpaceDN w:val="0"/>
      <w:adjustRightInd w:val="0"/>
      <w:jc w:val="right"/>
    </w:pPr>
    <w:rPr>
      <w:rFonts w:cs="Arial"/>
      <w:szCs w:val="18"/>
    </w:rPr>
  </w:style>
  <w:style w:type="paragraph" w:customStyle="1" w:styleId="CopyrightText">
    <w:name w:val="Copyright Text"/>
    <w:basedOn w:val="BodyText"/>
    <w:rsid w:val="001068E6"/>
    <w:rPr>
      <w:sz w:val="18"/>
    </w:rPr>
  </w:style>
  <w:style w:type="paragraph" w:customStyle="1" w:styleId="BodySmallRight">
    <w:name w:val="Body Small Right"/>
    <w:basedOn w:val="BodyTextRight"/>
    <w:rsid w:val="001068E6"/>
    <w:rPr>
      <w:sz w:val="18"/>
      <w:szCs w:val="18"/>
    </w:rPr>
  </w:style>
  <w:style w:type="paragraph" w:customStyle="1" w:styleId="MarginEdition">
    <w:name w:val="Margin Edition"/>
    <w:basedOn w:val="MarginNote"/>
    <w:rsid w:val="001068E6"/>
    <w:pPr>
      <w:spacing w:before="0" w:after="0"/>
    </w:pPr>
    <w:rPr>
      <w:rFonts w:ascii="Times New Roman" w:hAnsi="Times New Roman"/>
      <w:color w:val="999999"/>
    </w:rPr>
  </w:style>
  <w:style w:type="paragraph" w:customStyle="1" w:styleId="Spacer">
    <w:name w:val="Spacer"/>
    <w:basedOn w:val="Normal"/>
    <w:rsid w:val="001068E6"/>
    <w:rPr>
      <w:sz w:val="2"/>
      <w:szCs w:val="2"/>
    </w:rPr>
  </w:style>
  <w:style w:type="character" w:customStyle="1" w:styleId="Small">
    <w:name w:val="Small"/>
    <w:basedOn w:val="DefaultParagraphFont"/>
    <w:rsid w:val="001068E6"/>
    <w:rPr>
      <w:sz w:val="16"/>
    </w:rPr>
  </w:style>
  <w:style w:type="paragraph" w:customStyle="1" w:styleId="WideTable">
    <w:name w:val="Wide Table"/>
    <w:basedOn w:val="Normal"/>
    <w:rsid w:val="001068E6"/>
    <w:pPr>
      <w:ind w:left="-1418"/>
    </w:pPr>
    <w:rPr>
      <w:sz w:val="2"/>
      <w:szCs w:val="2"/>
    </w:rPr>
  </w:style>
  <w:style w:type="character" w:styleId="PageNumber">
    <w:name w:val="page number"/>
    <w:basedOn w:val="DefaultParagraphFont"/>
    <w:rsid w:val="001068E6"/>
  </w:style>
  <w:style w:type="paragraph" w:styleId="Quote">
    <w:name w:val="Quote"/>
    <w:basedOn w:val="Heading1"/>
    <w:link w:val="QuoteChar"/>
    <w:qFormat/>
    <w:rsid w:val="001068E6"/>
    <w:rPr>
      <w:b w:val="0"/>
      <w:sz w:val="72"/>
      <w:szCs w:val="72"/>
      <w:lang w:val="en-NZ"/>
    </w:rPr>
  </w:style>
  <w:style w:type="character" w:customStyle="1" w:styleId="QuoteChar">
    <w:name w:val="Quote Char"/>
    <w:basedOn w:val="DefaultParagraphFont"/>
    <w:link w:val="Quote"/>
    <w:rsid w:val="00106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8E6"/>
    <w:pPr>
      <w:pageBreakBefore/>
    </w:pPr>
  </w:style>
  <w:style w:type="paragraph" w:customStyle="1" w:styleId="Border">
    <w:name w:val="Border"/>
    <w:basedOn w:val="Normal"/>
    <w:qFormat/>
    <w:rsid w:val="00106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8E6"/>
    <w:rPr>
      <w:b/>
      <w:bCs/>
      <w:i/>
      <w:iCs/>
      <w:color w:val="auto"/>
    </w:rPr>
  </w:style>
  <w:style w:type="paragraph" w:styleId="IntenseQuote">
    <w:name w:val="Intense Quote"/>
    <w:basedOn w:val="Normal"/>
    <w:next w:val="Normal"/>
    <w:link w:val="IntenseQuoteChar"/>
    <w:uiPriority w:val="30"/>
    <w:qFormat/>
    <w:rsid w:val="00106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8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8E6"/>
    <w:rPr>
      <w:smallCaps/>
      <w:color w:val="auto"/>
      <w:u w:val="single"/>
    </w:rPr>
  </w:style>
  <w:style w:type="character" w:styleId="IntenseReference">
    <w:name w:val="Intense Reference"/>
    <w:basedOn w:val="DefaultParagraphFont"/>
    <w:uiPriority w:val="32"/>
    <w:qFormat/>
    <w:rsid w:val="001068E6"/>
    <w:rPr>
      <w:b/>
      <w:bCs/>
      <w:smallCaps/>
      <w:color w:val="auto"/>
      <w:spacing w:val="5"/>
      <w:u w:val="single"/>
    </w:rPr>
  </w:style>
  <w:style w:type="paragraph" w:customStyle="1" w:styleId="2ColumnHeading">
    <w:name w:val="2Column Heading"/>
    <w:basedOn w:val="BodyText"/>
    <w:qFormat/>
    <w:rsid w:val="001068E6"/>
    <w:pPr>
      <w:spacing w:after="60"/>
      <w:ind w:left="-2268"/>
    </w:pPr>
    <w:rPr>
      <w:b/>
    </w:rPr>
  </w:style>
  <w:style w:type="paragraph" w:customStyle="1" w:styleId="Heading1TOC">
    <w:name w:val="Heading1 TOC"/>
    <w:basedOn w:val="Normal"/>
    <w:qFormat/>
    <w:rsid w:val="001068E6"/>
    <w:pPr>
      <w:spacing w:before="240" w:after="120"/>
    </w:pPr>
    <w:rPr>
      <w:rFonts w:ascii="Times New Roman" w:hAnsi="Times New Roman"/>
      <w:b/>
      <w:sz w:val="32"/>
    </w:rPr>
  </w:style>
  <w:style w:type="paragraph" w:customStyle="1" w:styleId="Heading2TOC">
    <w:name w:val="Heading2 TOC"/>
    <w:basedOn w:val="Normal"/>
    <w:qFormat/>
    <w:rsid w:val="001068E6"/>
    <w:pPr>
      <w:spacing w:before="240" w:after="60"/>
    </w:pPr>
    <w:rPr>
      <w:rFonts w:ascii="Times New Roman" w:hAnsi="Times New Roman"/>
      <w:b/>
      <w:sz w:val="28"/>
    </w:rPr>
  </w:style>
  <w:style w:type="character" w:customStyle="1" w:styleId="Underline">
    <w:name w:val="Underline"/>
    <w:basedOn w:val="DefaultParagraphFont"/>
    <w:qFormat/>
    <w:rsid w:val="001068E6"/>
    <w:rPr>
      <w:u w:val="single"/>
    </w:rPr>
  </w:style>
  <w:style w:type="character" w:customStyle="1" w:styleId="BoldandItalics">
    <w:name w:val="Bold and Italics"/>
    <w:qFormat/>
    <w:rsid w:val="001068E6"/>
    <w:rPr>
      <w:b/>
      <w:i/>
      <w:u w:val="none"/>
    </w:rPr>
  </w:style>
  <w:style w:type="paragraph" w:styleId="BalloonText">
    <w:name w:val="Balloon Text"/>
    <w:basedOn w:val="Normal"/>
    <w:link w:val="BalloonTextChar"/>
    <w:rsid w:val="001068E6"/>
    <w:rPr>
      <w:rFonts w:ascii="Tahoma" w:hAnsi="Tahoma" w:cs="Tahoma"/>
      <w:sz w:val="16"/>
      <w:szCs w:val="16"/>
    </w:rPr>
  </w:style>
  <w:style w:type="character" w:customStyle="1" w:styleId="BalloonTextChar">
    <w:name w:val="Balloon Text Char"/>
    <w:basedOn w:val="DefaultParagraphFont"/>
    <w:link w:val="BalloonText"/>
    <w:rsid w:val="001068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8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8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8E6"/>
    <w:rPr>
      <w:b/>
      <w:color w:val="660033"/>
      <w:spacing w:val="0"/>
    </w:rPr>
  </w:style>
  <w:style w:type="paragraph" w:customStyle="1" w:styleId="Nameditemlist">
    <w:name w:val="Named item list"/>
    <w:basedOn w:val="BodyText"/>
    <w:qFormat/>
    <w:rsid w:val="001068E6"/>
    <w:pPr>
      <w:tabs>
        <w:tab w:val="left" w:pos="2835"/>
      </w:tabs>
      <w:ind w:left="2835" w:hanging="2835"/>
    </w:pPr>
  </w:style>
  <w:style w:type="paragraph" w:customStyle="1" w:styleId="BodyTextnopadding">
    <w:name w:val="Body Text no padding"/>
    <w:basedOn w:val="BodyText"/>
    <w:qFormat/>
    <w:rsid w:val="001068E6"/>
    <w:pPr>
      <w:spacing w:before="0" w:after="0"/>
    </w:pPr>
  </w:style>
  <w:style w:type="character" w:styleId="Hyperlink">
    <w:name w:val="Hyperlink"/>
    <w:basedOn w:val="DefaultParagraphFont"/>
    <w:uiPriority w:val="99"/>
    <w:unhideWhenUsed/>
    <w:rsid w:val="00A979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1226</Words>
  <Characters>7603</Characters>
  <Application>Microsoft Office Word</Application>
  <DocSecurity>0</DocSecurity>
  <Lines>330</Lines>
  <Paragraphs>200</Paragraphs>
  <ScaleCrop>false</ScaleCrop>
  <Company>Author-it Software Corporation Ltd.</Company>
  <LinksUpToDate>false</LinksUpToDate>
  <CharactersWithSpaces>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MSFGG2008 Glaze and re-glaze residential windows and doors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2018-12-18T05:10:00Z</dcterms:created>
  <dcterms:modified xsi:type="dcterms:W3CDTF">2018-12-18T05:10:00Z</dcterms:modified>
</cp:coreProperties>
</file>